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93EC" w14:textId="77777777" w:rsidR="00F936EB" w:rsidRDefault="00F936EB" w:rsidP="00F936EB">
      <w:pPr>
        <w:jc w:val="center"/>
        <w:rPr>
          <w:b/>
          <w:sz w:val="28"/>
          <w:szCs w:val="28"/>
          <w:u w:val="single"/>
        </w:rPr>
      </w:pPr>
      <w:bookmarkStart w:id="0" w:name="_Toc384909477"/>
      <w:bookmarkStart w:id="1" w:name="_Toc384977442"/>
      <w:bookmarkStart w:id="2" w:name="_Toc384977605"/>
      <w:r>
        <w:rPr>
          <w:b/>
          <w:sz w:val="28"/>
          <w:szCs w:val="28"/>
          <w:u w:val="single"/>
        </w:rPr>
        <w:t>SOUTH AUSTRALIA</w:t>
      </w:r>
    </w:p>
    <w:p w14:paraId="3D2B8326" w14:textId="77777777" w:rsidR="00F936EB" w:rsidRDefault="00F936EB" w:rsidP="00F936EB">
      <w:pPr>
        <w:jc w:val="center"/>
        <w:rPr>
          <w:b/>
          <w:sz w:val="28"/>
          <w:szCs w:val="28"/>
          <w:u w:val="single"/>
        </w:rPr>
      </w:pPr>
    </w:p>
    <w:p w14:paraId="49532E68" w14:textId="77777777" w:rsidR="00F936EB" w:rsidRDefault="00F936EB" w:rsidP="00F936EB">
      <w:pPr>
        <w:jc w:val="center"/>
        <w:rPr>
          <w:b/>
          <w:sz w:val="28"/>
          <w:szCs w:val="28"/>
          <w:u w:val="single"/>
        </w:rPr>
      </w:pPr>
      <w:r>
        <w:rPr>
          <w:b/>
          <w:sz w:val="28"/>
          <w:szCs w:val="28"/>
          <w:u w:val="single"/>
        </w:rPr>
        <w:t>DISTRICT COURT CRIMINAL SUPPLEMENTARY RULES 2014</w:t>
      </w:r>
    </w:p>
    <w:p w14:paraId="17283150" w14:textId="77777777" w:rsidR="00F936EB" w:rsidRDefault="00F936EB" w:rsidP="00F936EB">
      <w:pPr>
        <w:jc w:val="center"/>
        <w:rPr>
          <w:b/>
          <w:sz w:val="28"/>
          <w:szCs w:val="28"/>
          <w:u w:val="single"/>
        </w:rPr>
      </w:pPr>
    </w:p>
    <w:p w14:paraId="7BF88241" w14:textId="77777777" w:rsidR="007A66AE" w:rsidRDefault="007A66AE" w:rsidP="007A66AE">
      <w:pPr>
        <w:jc w:val="both"/>
        <w:rPr>
          <w:b/>
          <w:sz w:val="36"/>
          <w:szCs w:val="36"/>
        </w:rPr>
      </w:pPr>
      <w:r>
        <w:rPr>
          <w:spacing w:val="-2"/>
          <w:szCs w:val="23"/>
        </w:rPr>
        <w:t xml:space="preserve">The District Court Criminal Supplementary Rules 2014, dated 16 September 2014, which came into </w:t>
      </w:r>
      <w:r>
        <w:rPr>
          <w:szCs w:val="23"/>
        </w:rPr>
        <w:t>operation</w:t>
      </w:r>
      <w:r>
        <w:rPr>
          <w:spacing w:val="-2"/>
          <w:szCs w:val="23"/>
        </w:rPr>
        <w:t xml:space="preserve"> on 1</w:t>
      </w:r>
      <w:r w:rsidRPr="00AE13CA">
        <w:rPr>
          <w:spacing w:val="-2"/>
          <w:szCs w:val="23"/>
          <w:vertAlign w:val="superscript"/>
        </w:rPr>
        <w:t>st</w:t>
      </w:r>
      <w:r>
        <w:rPr>
          <w:spacing w:val="-2"/>
          <w:szCs w:val="23"/>
        </w:rPr>
        <w:t xml:space="preserve"> October 2014 (</w:t>
      </w:r>
      <w:r>
        <w:rPr>
          <w:i/>
          <w:iCs/>
          <w:spacing w:val="-2"/>
          <w:szCs w:val="23"/>
        </w:rPr>
        <w:t>Government Gazette</w:t>
      </w:r>
      <w:r>
        <w:rPr>
          <w:spacing w:val="-2"/>
          <w:szCs w:val="23"/>
        </w:rPr>
        <w:t xml:space="preserve"> 19 September 2014, p. 5327) have been varied by District Court rules dated:</w:t>
      </w:r>
    </w:p>
    <w:tbl>
      <w:tblPr>
        <w:tblW w:w="9606" w:type="dxa"/>
        <w:tblLayout w:type="fixed"/>
        <w:tblLook w:val="0000" w:firstRow="0" w:lastRow="0" w:firstColumn="0" w:lastColumn="0" w:noHBand="0" w:noVBand="0"/>
      </w:tblPr>
      <w:tblGrid>
        <w:gridCol w:w="1668"/>
        <w:gridCol w:w="2160"/>
        <w:gridCol w:w="3000"/>
        <w:gridCol w:w="2778"/>
      </w:tblGrid>
      <w:tr w:rsidR="007A66AE" w:rsidRPr="007A66AE" w14:paraId="50DC4D12" w14:textId="77777777" w:rsidTr="007A66AE">
        <w:trPr>
          <w:tblHeader/>
        </w:trPr>
        <w:tc>
          <w:tcPr>
            <w:tcW w:w="1668" w:type="dxa"/>
            <w:tcBorders>
              <w:top w:val="nil"/>
              <w:left w:val="nil"/>
              <w:bottom w:val="nil"/>
              <w:right w:val="nil"/>
            </w:tcBorders>
          </w:tcPr>
          <w:p w14:paraId="07AA00A9" w14:textId="77777777" w:rsidR="007A66AE" w:rsidRPr="007A66AE" w:rsidRDefault="007A66AE" w:rsidP="007A66AE">
            <w:pPr>
              <w:tabs>
                <w:tab w:val="left" w:pos="709"/>
                <w:tab w:val="left" w:pos="3119"/>
                <w:tab w:val="left" w:pos="6237"/>
              </w:tabs>
              <w:suppressAutoHyphens/>
              <w:spacing w:after="60" w:line="240" w:lineRule="auto"/>
              <w:jc w:val="center"/>
              <w:rPr>
                <w:rFonts w:eastAsiaTheme="minorHAnsi"/>
                <w:i/>
                <w:spacing w:val="-2"/>
                <w:sz w:val="24"/>
                <w:szCs w:val="24"/>
                <w:lang w:val="en-US" w:bidi="en-US"/>
              </w:rPr>
            </w:pPr>
            <w:r w:rsidRPr="007A66AE">
              <w:rPr>
                <w:rFonts w:eastAsiaTheme="minorHAnsi"/>
                <w:i/>
                <w:spacing w:val="-2"/>
                <w:sz w:val="24"/>
                <w:szCs w:val="24"/>
                <w:lang w:val="en-US" w:bidi="en-US"/>
              </w:rPr>
              <w:t>Amendment #</w:t>
            </w:r>
          </w:p>
        </w:tc>
        <w:tc>
          <w:tcPr>
            <w:tcW w:w="2160" w:type="dxa"/>
            <w:tcBorders>
              <w:top w:val="nil"/>
              <w:left w:val="nil"/>
              <w:bottom w:val="nil"/>
              <w:right w:val="nil"/>
            </w:tcBorders>
          </w:tcPr>
          <w:p w14:paraId="1FE80F6A" w14:textId="77777777" w:rsidR="007A66AE" w:rsidRPr="007A66AE" w:rsidRDefault="007A66AE" w:rsidP="007A66AE">
            <w:pPr>
              <w:tabs>
                <w:tab w:val="left" w:pos="709"/>
                <w:tab w:val="left" w:pos="3119"/>
                <w:tab w:val="left" w:pos="6237"/>
              </w:tabs>
              <w:suppressAutoHyphens/>
              <w:spacing w:after="60" w:line="240" w:lineRule="auto"/>
              <w:rPr>
                <w:rFonts w:eastAsiaTheme="minorHAnsi"/>
                <w:i/>
                <w:spacing w:val="-2"/>
                <w:sz w:val="24"/>
                <w:szCs w:val="24"/>
                <w:lang w:val="en-US" w:bidi="en-US"/>
              </w:rPr>
            </w:pPr>
          </w:p>
        </w:tc>
        <w:tc>
          <w:tcPr>
            <w:tcW w:w="3000" w:type="dxa"/>
            <w:tcBorders>
              <w:top w:val="nil"/>
              <w:left w:val="nil"/>
              <w:bottom w:val="nil"/>
              <w:right w:val="nil"/>
            </w:tcBorders>
          </w:tcPr>
          <w:p w14:paraId="24A41BF1" w14:textId="77777777" w:rsidR="007A66AE" w:rsidRPr="007A66AE" w:rsidRDefault="007A66AE" w:rsidP="007A66AE">
            <w:pPr>
              <w:tabs>
                <w:tab w:val="left" w:pos="709"/>
                <w:tab w:val="left" w:pos="3119"/>
                <w:tab w:val="left" w:pos="6237"/>
              </w:tabs>
              <w:suppressAutoHyphens/>
              <w:spacing w:after="60" w:line="240" w:lineRule="auto"/>
              <w:rPr>
                <w:rFonts w:eastAsiaTheme="minorHAnsi"/>
                <w:i/>
                <w:spacing w:val="-2"/>
                <w:sz w:val="24"/>
                <w:szCs w:val="24"/>
                <w:lang w:val="en-US" w:bidi="en-US"/>
              </w:rPr>
            </w:pPr>
            <w:r w:rsidRPr="007A66AE">
              <w:rPr>
                <w:rFonts w:eastAsiaTheme="minorHAnsi"/>
                <w:i/>
                <w:spacing w:val="-2"/>
                <w:sz w:val="24"/>
                <w:szCs w:val="24"/>
                <w:lang w:val="en-US" w:bidi="en-US"/>
              </w:rPr>
              <w:t>Gazette</w:t>
            </w:r>
          </w:p>
        </w:tc>
        <w:tc>
          <w:tcPr>
            <w:tcW w:w="2778" w:type="dxa"/>
            <w:tcBorders>
              <w:top w:val="nil"/>
              <w:left w:val="nil"/>
              <w:bottom w:val="nil"/>
              <w:right w:val="nil"/>
            </w:tcBorders>
          </w:tcPr>
          <w:p w14:paraId="46D0BC80" w14:textId="77777777" w:rsidR="007A66AE" w:rsidRPr="007A66AE" w:rsidRDefault="007A66AE" w:rsidP="007A66AE">
            <w:pPr>
              <w:tabs>
                <w:tab w:val="left" w:pos="709"/>
                <w:tab w:val="left" w:pos="3119"/>
                <w:tab w:val="left" w:pos="6237"/>
              </w:tabs>
              <w:suppressAutoHyphens/>
              <w:spacing w:after="60" w:line="240" w:lineRule="auto"/>
              <w:rPr>
                <w:rFonts w:eastAsiaTheme="minorHAnsi"/>
                <w:i/>
                <w:spacing w:val="-2"/>
                <w:sz w:val="24"/>
                <w:szCs w:val="24"/>
                <w:lang w:val="en-US" w:bidi="en-US"/>
              </w:rPr>
            </w:pPr>
            <w:r w:rsidRPr="007A66AE">
              <w:rPr>
                <w:rFonts w:eastAsiaTheme="minorHAnsi"/>
                <w:i/>
                <w:spacing w:val="-2"/>
                <w:sz w:val="24"/>
                <w:szCs w:val="24"/>
                <w:lang w:val="en-US" w:bidi="en-US"/>
              </w:rPr>
              <w:t>Date of operation</w:t>
            </w:r>
          </w:p>
        </w:tc>
      </w:tr>
      <w:tr w:rsidR="007A66AE" w:rsidRPr="00A365F8" w14:paraId="02A893A0" w14:textId="77777777" w:rsidTr="007A66AE">
        <w:tc>
          <w:tcPr>
            <w:tcW w:w="1668" w:type="dxa"/>
            <w:tcBorders>
              <w:top w:val="nil"/>
              <w:left w:val="nil"/>
              <w:bottom w:val="nil"/>
              <w:right w:val="nil"/>
            </w:tcBorders>
          </w:tcPr>
          <w:p w14:paraId="2E858BD3" w14:textId="77777777" w:rsidR="007A66AE" w:rsidRPr="00A365F8" w:rsidRDefault="007A66AE" w:rsidP="007A66AE">
            <w:pPr>
              <w:tabs>
                <w:tab w:val="left" w:pos="709"/>
                <w:tab w:val="left" w:pos="3119"/>
                <w:tab w:val="left" w:pos="6237"/>
              </w:tabs>
              <w:suppressAutoHyphens/>
              <w:spacing w:after="60" w:line="240" w:lineRule="auto"/>
              <w:jc w:val="center"/>
              <w:rPr>
                <w:rFonts w:eastAsiaTheme="minorHAnsi"/>
                <w:spacing w:val="-2"/>
                <w:sz w:val="24"/>
                <w:szCs w:val="24"/>
                <w:lang w:val="en-US" w:bidi="en-US"/>
              </w:rPr>
            </w:pPr>
            <w:r w:rsidRPr="00A365F8">
              <w:rPr>
                <w:rFonts w:eastAsiaTheme="minorHAnsi"/>
                <w:spacing w:val="-2"/>
                <w:sz w:val="24"/>
                <w:szCs w:val="24"/>
                <w:lang w:val="en-US" w:bidi="en-US"/>
              </w:rPr>
              <w:t>1</w:t>
            </w:r>
          </w:p>
        </w:tc>
        <w:tc>
          <w:tcPr>
            <w:tcW w:w="2160" w:type="dxa"/>
            <w:tcBorders>
              <w:top w:val="nil"/>
              <w:left w:val="nil"/>
              <w:bottom w:val="nil"/>
              <w:right w:val="nil"/>
            </w:tcBorders>
          </w:tcPr>
          <w:p w14:paraId="5451E0CA" w14:textId="77777777" w:rsidR="007A66AE" w:rsidRPr="00A365F8" w:rsidRDefault="007A66AE"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A365F8">
              <w:rPr>
                <w:rFonts w:eastAsiaTheme="minorHAnsi"/>
                <w:spacing w:val="-2"/>
                <w:sz w:val="24"/>
                <w:szCs w:val="24"/>
                <w:lang w:val="en-US" w:bidi="en-US"/>
              </w:rPr>
              <w:t>24 March 2016</w:t>
            </w:r>
          </w:p>
        </w:tc>
        <w:tc>
          <w:tcPr>
            <w:tcW w:w="3000" w:type="dxa"/>
            <w:tcBorders>
              <w:top w:val="nil"/>
              <w:left w:val="nil"/>
              <w:bottom w:val="nil"/>
              <w:right w:val="nil"/>
            </w:tcBorders>
          </w:tcPr>
          <w:p w14:paraId="642975A1" w14:textId="77777777" w:rsidR="007A66AE" w:rsidRPr="00A365F8" w:rsidRDefault="007A66AE"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A365F8">
              <w:rPr>
                <w:rFonts w:eastAsiaTheme="minorHAnsi"/>
                <w:spacing w:val="-2"/>
                <w:sz w:val="24"/>
                <w:szCs w:val="24"/>
                <w:lang w:val="en-US" w:bidi="en-US"/>
              </w:rPr>
              <w:t>31 March 2016, p. 1094</w:t>
            </w:r>
          </w:p>
        </w:tc>
        <w:tc>
          <w:tcPr>
            <w:tcW w:w="2778" w:type="dxa"/>
            <w:tcBorders>
              <w:top w:val="nil"/>
              <w:left w:val="nil"/>
              <w:bottom w:val="nil"/>
              <w:right w:val="nil"/>
            </w:tcBorders>
          </w:tcPr>
          <w:p w14:paraId="25928FEF" w14:textId="77777777" w:rsidR="007A66AE" w:rsidRPr="00A365F8" w:rsidRDefault="007A66AE"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A365F8">
              <w:rPr>
                <w:rFonts w:eastAsiaTheme="minorHAnsi"/>
                <w:spacing w:val="-2"/>
                <w:sz w:val="24"/>
                <w:szCs w:val="24"/>
                <w:lang w:val="en-US" w:bidi="en-US"/>
              </w:rPr>
              <w:t>1 May 2016</w:t>
            </w:r>
          </w:p>
        </w:tc>
      </w:tr>
      <w:tr w:rsidR="007A66AE" w:rsidRPr="001949B9" w14:paraId="53B4BA5B" w14:textId="77777777" w:rsidTr="007A66AE">
        <w:tc>
          <w:tcPr>
            <w:tcW w:w="1668" w:type="dxa"/>
            <w:tcBorders>
              <w:top w:val="nil"/>
              <w:left w:val="nil"/>
              <w:bottom w:val="nil"/>
              <w:right w:val="nil"/>
            </w:tcBorders>
          </w:tcPr>
          <w:p w14:paraId="183425C3" w14:textId="77777777" w:rsidR="007A66AE" w:rsidRPr="001949B9" w:rsidRDefault="00A365F8" w:rsidP="007A66AE">
            <w:pPr>
              <w:tabs>
                <w:tab w:val="left" w:pos="709"/>
                <w:tab w:val="left" w:pos="3119"/>
                <w:tab w:val="left" w:pos="6237"/>
              </w:tabs>
              <w:suppressAutoHyphens/>
              <w:spacing w:after="60" w:line="240" w:lineRule="auto"/>
              <w:jc w:val="center"/>
              <w:rPr>
                <w:rFonts w:eastAsiaTheme="minorHAnsi"/>
                <w:spacing w:val="-2"/>
                <w:sz w:val="24"/>
                <w:szCs w:val="24"/>
                <w:lang w:val="en-US" w:bidi="en-US"/>
              </w:rPr>
            </w:pPr>
            <w:r w:rsidRPr="001949B9">
              <w:rPr>
                <w:rFonts w:eastAsiaTheme="minorHAnsi"/>
                <w:spacing w:val="-2"/>
                <w:sz w:val="24"/>
                <w:szCs w:val="24"/>
                <w:lang w:val="en-US" w:bidi="en-US"/>
              </w:rPr>
              <w:t>2</w:t>
            </w:r>
          </w:p>
        </w:tc>
        <w:tc>
          <w:tcPr>
            <w:tcW w:w="2160" w:type="dxa"/>
            <w:tcBorders>
              <w:top w:val="nil"/>
              <w:left w:val="nil"/>
              <w:bottom w:val="nil"/>
              <w:right w:val="nil"/>
            </w:tcBorders>
          </w:tcPr>
          <w:p w14:paraId="23996C02" w14:textId="77777777" w:rsidR="007A66AE" w:rsidRPr="001949B9" w:rsidRDefault="00A365F8"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1949B9">
              <w:rPr>
                <w:rFonts w:eastAsiaTheme="minorHAnsi"/>
                <w:spacing w:val="-2"/>
                <w:sz w:val="24"/>
                <w:szCs w:val="24"/>
                <w:lang w:val="en-US" w:bidi="en-US"/>
              </w:rPr>
              <w:t>20 June 2016</w:t>
            </w:r>
          </w:p>
        </w:tc>
        <w:tc>
          <w:tcPr>
            <w:tcW w:w="3000" w:type="dxa"/>
            <w:tcBorders>
              <w:top w:val="nil"/>
              <w:left w:val="nil"/>
              <w:bottom w:val="nil"/>
              <w:right w:val="nil"/>
            </w:tcBorders>
          </w:tcPr>
          <w:p w14:paraId="4FD13BC1" w14:textId="77777777" w:rsidR="007A66AE" w:rsidRPr="001949B9" w:rsidRDefault="00A365F8"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1949B9">
              <w:rPr>
                <w:rFonts w:eastAsiaTheme="minorHAnsi"/>
                <w:spacing w:val="-2"/>
                <w:sz w:val="24"/>
                <w:szCs w:val="24"/>
                <w:lang w:val="en-US" w:bidi="en-US"/>
              </w:rPr>
              <w:t>23 June 2016, p. 2559</w:t>
            </w:r>
          </w:p>
        </w:tc>
        <w:tc>
          <w:tcPr>
            <w:tcW w:w="2778" w:type="dxa"/>
            <w:tcBorders>
              <w:top w:val="nil"/>
              <w:left w:val="nil"/>
              <w:bottom w:val="nil"/>
              <w:right w:val="nil"/>
            </w:tcBorders>
          </w:tcPr>
          <w:p w14:paraId="28EE2957" w14:textId="77777777" w:rsidR="007A66AE" w:rsidRPr="001949B9" w:rsidRDefault="00A365F8"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1949B9">
              <w:rPr>
                <w:rFonts w:eastAsiaTheme="minorHAnsi"/>
                <w:spacing w:val="-2"/>
                <w:sz w:val="24"/>
                <w:szCs w:val="24"/>
                <w:lang w:val="en-US" w:bidi="en-US"/>
              </w:rPr>
              <w:t>27 June 2016</w:t>
            </w:r>
          </w:p>
        </w:tc>
      </w:tr>
      <w:tr w:rsidR="007A66AE" w:rsidRPr="00971CC2" w14:paraId="23501C23" w14:textId="77777777" w:rsidTr="007A66AE">
        <w:tc>
          <w:tcPr>
            <w:tcW w:w="1668" w:type="dxa"/>
            <w:tcBorders>
              <w:top w:val="nil"/>
              <w:left w:val="nil"/>
              <w:bottom w:val="nil"/>
              <w:right w:val="nil"/>
            </w:tcBorders>
          </w:tcPr>
          <w:p w14:paraId="575E2766" w14:textId="77777777" w:rsidR="007A66AE" w:rsidRPr="00971CC2" w:rsidRDefault="001949B9" w:rsidP="007A66AE">
            <w:pPr>
              <w:tabs>
                <w:tab w:val="left" w:pos="709"/>
                <w:tab w:val="left" w:pos="3119"/>
                <w:tab w:val="left" w:pos="6237"/>
              </w:tabs>
              <w:suppressAutoHyphens/>
              <w:spacing w:after="60" w:line="240" w:lineRule="auto"/>
              <w:jc w:val="center"/>
              <w:rPr>
                <w:rFonts w:eastAsiaTheme="minorHAnsi"/>
                <w:spacing w:val="-2"/>
                <w:sz w:val="24"/>
                <w:szCs w:val="24"/>
                <w:lang w:val="en-US" w:bidi="en-US"/>
              </w:rPr>
            </w:pPr>
            <w:r w:rsidRPr="00971CC2">
              <w:rPr>
                <w:rFonts w:eastAsiaTheme="minorHAnsi"/>
                <w:spacing w:val="-2"/>
                <w:sz w:val="24"/>
                <w:szCs w:val="24"/>
                <w:lang w:val="en-US" w:bidi="en-US"/>
              </w:rPr>
              <w:t>3</w:t>
            </w:r>
          </w:p>
        </w:tc>
        <w:tc>
          <w:tcPr>
            <w:tcW w:w="2160" w:type="dxa"/>
            <w:tcBorders>
              <w:top w:val="nil"/>
              <w:left w:val="nil"/>
              <w:bottom w:val="nil"/>
              <w:right w:val="nil"/>
            </w:tcBorders>
          </w:tcPr>
          <w:p w14:paraId="521A54F0" w14:textId="77777777" w:rsidR="007A66AE" w:rsidRPr="00971CC2" w:rsidRDefault="001949B9"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971CC2">
              <w:rPr>
                <w:rFonts w:eastAsiaTheme="minorHAnsi"/>
                <w:spacing w:val="-2"/>
                <w:sz w:val="24"/>
                <w:szCs w:val="24"/>
                <w:lang w:val="en-US" w:bidi="en-US"/>
              </w:rPr>
              <w:t>18 October 2016</w:t>
            </w:r>
          </w:p>
        </w:tc>
        <w:tc>
          <w:tcPr>
            <w:tcW w:w="3000" w:type="dxa"/>
            <w:tcBorders>
              <w:top w:val="nil"/>
              <w:left w:val="nil"/>
              <w:bottom w:val="nil"/>
              <w:right w:val="nil"/>
            </w:tcBorders>
          </w:tcPr>
          <w:p w14:paraId="57394FB5" w14:textId="77777777" w:rsidR="007A66AE" w:rsidRPr="00971CC2" w:rsidRDefault="00991B02"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971CC2">
              <w:rPr>
                <w:rFonts w:eastAsiaTheme="minorHAnsi"/>
                <w:spacing w:val="-2"/>
                <w:sz w:val="24"/>
                <w:szCs w:val="24"/>
                <w:lang w:val="en-US" w:bidi="en-US"/>
              </w:rPr>
              <w:t>3 November 2016, p. 4322</w:t>
            </w:r>
          </w:p>
        </w:tc>
        <w:tc>
          <w:tcPr>
            <w:tcW w:w="2778" w:type="dxa"/>
            <w:tcBorders>
              <w:top w:val="nil"/>
              <w:left w:val="nil"/>
              <w:bottom w:val="nil"/>
              <w:right w:val="nil"/>
            </w:tcBorders>
          </w:tcPr>
          <w:p w14:paraId="4CB3A866" w14:textId="77777777" w:rsidR="007A66AE" w:rsidRPr="00971CC2" w:rsidRDefault="001949B9"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971CC2">
              <w:rPr>
                <w:rFonts w:eastAsiaTheme="minorHAnsi"/>
                <w:spacing w:val="-2"/>
                <w:sz w:val="24"/>
                <w:szCs w:val="24"/>
                <w:lang w:val="en-US" w:bidi="en-US"/>
              </w:rPr>
              <w:t>1 December 2016</w:t>
            </w:r>
          </w:p>
        </w:tc>
      </w:tr>
      <w:tr w:rsidR="00971CC2" w:rsidRPr="00883E24" w14:paraId="04085A72" w14:textId="77777777" w:rsidTr="007A66AE">
        <w:tc>
          <w:tcPr>
            <w:tcW w:w="1668" w:type="dxa"/>
            <w:tcBorders>
              <w:top w:val="nil"/>
              <w:left w:val="nil"/>
              <w:bottom w:val="nil"/>
              <w:right w:val="nil"/>
            </w:tcBorders>
          </w:tcPr>
          <w:p w14:paraId="53541E57" w14:textId="77777777" w:rsidR="00971CC2" w:rsidRPr="00883E24" w:rsidRDefault="00971CC2" w:rsidP="007A66AE">
            <w:pPr>
              <w:tabs>
                <w:tab w:val="left" w:pos="709"/>
                <w:tab w:val="left" w:pos="3119"/>
                <w:tab w:val="left" w:pos="6237"/>
              </w:tabs>
              <w:suppressAutoHyphens/>
              <w:spacing w:after="60" w:line="240" w:lineRule="auto"/>
              <w:jc w:val="center"/>
              <w:rPr>
                <w:rFonts w:eastAsiaTheme="minorHAnsi"/>
                <w:spacing w:val="-2"/>
                <w:sz w:val="24"/>
                <w:szCs w:val="24"/>
                <w:lang w:val="en-US" w:bidi="en-US"/>
              </w:rPr>
            </w:pPr>
            <w:r w:rsidRPr="00883E24">
              <w:rPr>
                <w:rFonts w:eastAsiaTheme="minorHAnsi"/>
                <w:spacing w:val="-2"/>
                <w:sz w:val="24"/>
                <w:szCs w:val="24"/>
                <w:lang w:val="en-US" w:bidi="en-US"/>
              </w:rPr>
              <w:t>4</w:t>
            </w:r>
          </w:p>
        </w:tc>
        <w:tc>
          <w:tcPr>
            <w:tcW w:w="2160" w:type="dxa"/>
            <w:tcBorders>
              <w:top w:val="nil"/>
              <w:left w:val="nil"/>
              <w:bottom w:val="nil"/>
              <w:right w:val="nil"/>
            </w:tcBorders>
          </w:tcPr>
          <w:p w14:paraId="5D1CCF36" w14:textId="77777777" w:rsidR="00971CC2" w:rsidRPr="00883E24" w:rsidRDefault="00971CC2"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883E24">
              <w:rPr>
                <w:rFonts w:eastAsiaTheme="minorHAnsi"/>
                <w:spacing w:val="-2"/>
                <w:sz w:val="24"/>
                <w:szCs w:val="24"/>
                <w:lang w:val="en-US" w:bidi="en-US"/>
              </w:rPr>
              <w:t>22 November 2017</w:t>
            </w:r>
          </w:p>
        </w:tc>
        <w:tc>
          <w:tcPr>
            <w:tcW w:w="3000" w:type="dxa"/>
            <w:tcBorders>
              <w:top w:val="nil"/>
              <w:left w:val="nil"/>
              <w:bottom w:val="nil"/>
              <w:right w:val="nil"/>
            </w:tcBorders>
          </w:tcPr>
          <w:p w14:paraId="35464221" w14:textId="77777777" w:rsidR="00971CC2" w:rsidRPr="00883E24" w:rsidRDefault="00160FC1" w:rsidP="00160FC1">
            <w:pPr>
              <w:tabs>
                <w:tab w:val="left" w:pos="709"/>
                <w:tab w:val="left" w:pos="3119"/>
                <w:tab w:val="left" w:pos="6237"/>
              </w:tabs>
              <w:suppressAutoHyphens/>
              <w:spacing w:after="60" w:line="240" w:lineRule="auto"/>
              <w:rPr>
                <w:rFonts w:eastAsiaTheme="minorHAnsi"/>
                <w:spacing w:val="-2"/>
                <w:sz w:val="24"/>
                <w:szCs w:val="24"/>
                <w:lang w:val="en-US" w:bidi="en-US"/>
              </w:rPr>
            </w:pPr>
            <w:r w:rsidRPr="00883E24">
              <w:rPr>
                <w:rFonts w:eastAsiaTheme="minorHAnsi"/>
                <w:spacing w:val="-2"/>
                <w:sz w:val="24"/>
                <w:szCs w:val="24"/>
                <w:lang w:val="en-US" w:bidi="en-US"/>
              </w:rPr>
              <w:t>28</w:t>
            </w:r>
            <w:r w:rsidR="00971CC2" w:rsidRPr="00883E24">
              <w:rPr>
                <w:rFonts w:eastAsiaTheme="minorHAnsi"/>
                <w:spacing w:val="-2"/>
                <w:sz w:val="24"/>
                <w:szCs w:val="24"/>
                <w:lang w:val="en-US" w:bidi="en-US"/>
              </w:rPr>
              <w:t xml:space="preserve"> November 2017, p. </w:t>
            </w:r>
            <w:r w:rsidRPr="00883E24">
              <w:rPr>
                <w:rFonts w:eastAsiaTheme="minorHAnsi"/>
                <w:spacing w:val="-2"/>
                <w:sz w:val="24"/>
                <w:szCs w:val="24"/>
                <w:lang w:val="en-US" w:bidi="en-US"/>
              </w:rPr>
              <w:t>4771</w:t>
            </w:r>
          </w:p>
        </w:tc>
        <w:tc>
          <w:tcPr>
            <w:tcW w:w="2778" w:type="dxa"/>
            <w:tcBorders>
              <w:top w:val="nil"/>
              <w:left w:val="nil"/>
              <w:bottom w:val="nil"/>
              <w:right w:val="nil"/>
            </w:tcBorders>
          </w:tcPr>
          <w:p w14:paraId="6363BAF6" w14:textId="77777777" w:rsidR="00971CC2" w:rsidRPr="00883E24" w:rsidRDefault="00971CC2"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883E24">
              <w:rPr>
                <w:rFonts w:eastAsiaTheme="minorHAnsi"/>
                <w:spacing w:val="-2"/>
                <w:sz w:val="24"/>
                <w:szCs w:val="24"/>
                <w:lang w:val="en-US" w:bidi="en-US"/>
              </w:rPr>
              <w:t>1 December 2017</w:t>
            </w:r>
          </w:p>
        </w:tc>
      </w:tr>
      <w:tr w:rsidR="00883E24" w:rsidRPr="00C64506" w14:paraId="71B0C38D" w14:textId="77777777" w:rsidTr="007A66AE">
        <w:tc>
          <w:tcPr>
            <w:tcW w:w="1668" w:type="dxa"/>
            <w:tcBorders>
              <w:top w:val="nil"/>
              <w:left w:val="nil"/>
              <w:bottom w:val="nil"/>
              <w:right w:val="nil"/>
            </w:tcBorders>
          </w:tcPr>
          <w:p w14:paraId="4F826A2E" w14:textId="77777777" w:rsidR="00883E24" w:rsidRPr="00C64506" w:rsidRDefault="00883E24" w:rsidP="007A66AE">
            <w:pPr>
              <w:tabs>
                <w:tab w:val="left" w:pos="709"/>
                <w:tab w:val="left" w:pos="3119"/>
                <w:tab w:val="left" w:pos="6237"/>
              </w:tabs>
              <w:suppressAutoHyphens/>
              <w:spacing w:after="60" w:line="240" w:lineRule="auto"/>
              <w:jc w:val="center"/>
              <w:rPr>
                <w:rFonts w:eastAsiaTheme="minorHAnsi"/>
                <w:spacing w:val="-2"/>
                <w:sz w:val="24"/>
                <w:szCs w:val="24"/>
                <w:lang w:val="en-US" w:bidi="en-US"/>
              </w:rPr>
            </w:pPr>
            <w:r w:rsidRPr="00C64506">
              <w:rPr>
                <w:rFonts w:eastAsiaTheme="minorHAnsi"/>
                <w:spacing w:val="-2"/>
                <w:sz w:val="24"/>
                <w:szCs w:val="24"/>
                <w:lang w:val="en-US" w:bidi="en-US"/>
              </w:rPr>
              <w:t>5</w:t>
            </w:r>
          </w:p>
        </w:tc>
        <w:tc>
          <w:tcPr>
            <w:tcW w:w="2160" w:type="dxa"/>
            <w:tcBorders>
              <w:top w:val="nil"/>
              <w:left w:val="nil"/>
              <w:bottom w:val="nil"/>
              <w:right w:val="nil"/>
            </w:tcBorders>
          </w:tcPr>
          <w:p w14:paraId="59304B57" w14:textId="77777777" w:rsidR="00883E24" w:rsidRPr="00C64506" w:rsidRDefault="00883E24"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C64506">
              <w:rPr>
                <w:rFonts w:eastAsiaTheme="minorHAnsi"/>
                <w:spacing w:val="-2"/>
                <w:sz w:val="24"/>
                <w:szCs w:val="24"/>
                <w:lang w:val="en-US" w:bidi="en-US"/>
              </w:rPr>
              <w:t>18 May 2018</w:t>
            </w:r>
          </w:p>
        </w:tc>
        <w:tc>
          <w:tcPr>
            <w:tcW w:w="3000" w:type="dxa"/>
            <w:tcBorders>
              <w:top w:val="nil"/>
              <w:left w:val="nil"/>
              <w:bottom w:val="nil"/>
              <w:right w:val="nil"/>
            </w:tcBorders>
          </w:tcPr>
          <w:p w14:paraId="2CC72046" w14:textId="77777777" w:rsidR="00883E24" w:rsidRPr="00C64506" w:rsidRDefault="00883E24" w:rsidP="00160FC1">
            <w:pPr>
              <w:tabs>
                <w:tab w:val="left" w:pos="709"/>
                <w:tab w:val="left" w:pos="3119"/>
                <w:tab w:val="left" w:pos="6237"/>
              </w:tabs>
              <w:suppressAutoHyphens/>
              <w:spacing w:after="60" w:line="240" w:lineRule="auto"/>
              <w:rPr>
                <w:rFonts w:eastAsiaTheme="minorHAnsi"/>
                <w:spacing w:val="-2"/>
                <w:sz w:val="24"/>
                <w:szCs w:val="24"/>
                <w:lang w:val="en-US" w:bidi="en-US"/>
              </w:rPr>
            </w:pPr>
            <w:r w:rsidRPr="00C64506">
              <w:rPr>
                <w:rFonts w:eastAsiaTheme="minorHAnsi"/>
                <w:spacing w:val="-2"/>
                <w:sz w:val="24"/>
                <w:szCs w:val="24"/>
                <w:lang w:val="en-US" w:bidi="en-US"/>
              </w:rPr>
              <w:t>24 May 2018, p. 2040</w:t>
            </w:r>
          </w:p>
        </w:tc>
        <w:tc>
          <w:tcPr>
            <w:tcW w:w="2778" w:type="dxa"/>
            <w:tcBorders>
              <w:top w:val="nil"/>
              <w:left w:val="nil"/>
              <w:bottom w:val="nil"/>
              <w:right w:val="nil"/>
            </w:tcBorders>
          </w:tcPr>
          <w:p w14:paraId="6E2DE4D5" w14:textId="77777777" w:rsidR="00883E24" w:rsidRPr="00C64506" w:rsidRDefault="00883E24"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C64506">
              <w:rPr>
                <w:rFonts w:eastAsiaTheme="minorHAnsi"/>
                <w:spacing w:val="-2"/>
                <w:sz w:val="24"/>
                <w:szCs w:val="24"/>
                <w:lang w:val="en-US" w:bidi="en-US"/>
              </w:rPr>
              <w:t>1 June 2018</w:t>
            </w:r>
          </w:p>
        </w:tc>
      </w:tr>
      <w:tr w:rsidR="00C64506" w:rsidRPr="009D03C2" w14:paraId="776CE830" w14:textId="77777777" w:rsidTr="007A66AE">
        <w:tc>
          <w:tcPr>
            <w:tcW w:w="1668" w:type="dxa"/>
            <w:tcBorders>
              <w:top w:val="nil"/>
              <w:left w:val="nil"/>
              <w:bottom w:val="nil"/>
              <w:right w:val="nil"/>
            </w:tcBorders>
          </w:tcPr>
          <w:p w14:paraId="254AE1F3" w14:textId="77777777" w:rsidR="00C64506" w:rsidRPr="009D03C2" w:rsidRDefault="00C64506" w:rsidP="007A66AE">
            <w:pPr>
              <w:tabs>
                <w:tab w:val="left" w:pos="709"/>
                <w:tab w:val="left" w:pos="3119"/>
                <w:tab w:val="left" w:pos="6237"/>
              </w:tabs>
              <w:suppressAutoHyphens/>
              <w:spacing w:after="60" w:line="240" w:lineRule="auto"/>
              <w:jc w:val="center"/>
              <w:rPr>
                <w:rFonts w:eastAsiaTheme="minorHAnsi"/>
                <w:spacing w:val="-2"/>
                <w:sz w:val="24"/>
                <w:szCs w:val="24"/>
                <w:lang w:val="en-US" w:bidi="en-US"/>
              </w:rPr>
            </w:pPr>
            <w:r w:rsidRPr="009D03C2">
              <w:rPr>
                <w:rFonts w:eastAsiaTheme="minorHAnsi"/>
                <w:spacing w:val="-2"/>
                <w:sz w:val="24"/>
                <w:szCs w:val="24"/>
                <w:lang w:val="en-US" w:bidi="en-US"/>
              </w:rPr>
              <w:t>6</w:t>
            </w:r>
          </w:p>
        </w:tc>
        <w:tc>
          <w:tcPr>
            <w:tcW w:w="2160" w:type="dxa"/>
            <w:tcBorders>
              <w:top w:val="nil"/>
              <w:left w:val="nil"/>
              <w:bottom w:val="nil"/>
              <w:right w:val="nil"/>
            </w:tcBorders>
          </w:tcPr>
          <w:p w14:paraId="44CAE624" w14:textId="77777777" w:rsidR="00C64506" w:rsidRPr="009D03C2" w:rsidRDefault="00C64506"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9D03C2">
              <w:rPr>
                <w:rFonts w:eastAsiaTheme="minorHAnsi"/>
                <w:spacing w:val="-2"/>
                <w:sz w:val="24"/>
                <w:szCs w:val="24"/>
                <w:lang w:val="en-US" w:bidi="en-US"/>
              </w:rPr>
              <w:t>11 April 2019</w:t>
            </w:r>
          </w:p>
        </w:tc>
        <w:tc>
          <w:tcPr>
            <w:tcW w:w="3000" w:type="dxa"/>
            <w:tcBorders>
              <w:top w:val="nil"/>
              <w:left w:val="nil"/>
              <w:bottom w:val="nil"/>
              <w:right w:val="nil"/>
            </w:tcBorders>
          </w:tcPr>
          <w:p w14:paraId="36EBDC21" w14:textId="77777777" w:rsidR="00C64506" w:rsidRPr="009D03C2" w:rsidRDefault="00C64506" w:rsidP="00160FC1">
            <w:pPr>
              <w:tabs>
                <w:tab w:val="left" w:pos="709"/>
                <w:tab w:val="left" w:pos="3119"/>
                <w:tab w:val="left" w:pos="6237"/>
              </w:tabs>
              <w:suppressAutoHyphens/>
              <w:spacing w:after="60" w:line="240" w:lineRule="auto"/>
              <w:rPr>
                <w:rFonts w:eastAsiaTheme="minorHAnsi"/>
                <w:spacing w:val="-2"/>
                <w:sz w:val="24"/>
                <w:szCs w:val="24"/>
                <w:lang w:val="en-US" w:bidi="en-US"/>
              </w:rPr>
            </w:pPr>
            <w:r w:rsidRPr="009D03C2">
              <w:rPr>
                <w:rFonts w:eastAsiaTheme="minorHAnsi"/>
                <w:spacing w:val="-2"/>
                <w:sz w:val="24"/>
                <w:szCs w:val="24"/>
                <w:lang w:val="en-US" w:bidi="en-US"/>
              </w:rPr>
              <w:t>18 April 2019, p. 1079</w:t>
            </w:r>
          </w:p>
        </w:tc>
        <w:tc>
          <w:tcPr>
            <w:tcW w:w="2778" w:type="dxa"/>
            <w:tcBorders>
              <w:top w:val="nil"/>
              <w:left w:val="nil"/>
              <w:bottom w:val="nil"/>
              <w:right w:val="nil"/>
            </w:tcBorders>
          </w:tcPr>
          <w:p w14:paraId="1168AACB" w14:textId="77777777" w:rsidR="00C64506" w:rsidRPr="009D03C2" w:rsidRDefault="00C64506" w:rsidP="007A66AE">
            <w:pPr>
              <w:tabs>
                <w:tab w:val="left" w:pos="709"/>
                <w:tab w:val="left" w:pos="3119"/>
                <w:tab w:val="left" w:pos="6237"/>
              </w:tabs>
              <w:suppressAutoHyphens/>
              <w:spacing w:after="60" w:line="240" w:lineRule="auto"/>
              <w:rPr>
                <w:rFonts w:eastAsiaTheme="minorHAnsi"/>
                <w:spacing w:val="-2"/>
                <w:sz w:val="24"/>
                <w:szCs w:val="24"/>
                <w:lang w:val="en-US" w:bidi="en-US"/>
              </w:rPr>
            </w:pPr>
            <w:r w:rsidRPr="009D03C2">
              <w:rPr>
                <w:rFonts w:eastAsiaTheme="minorHAnsi"/>
                <w:spacing w:val="-2"/>
                <w:sz w:val="24"/>
                <w:szCs w:val="24"/>
                <w:lang w:val="en-US" w:bidi="en-US"/>
              </w:rPr>
              <w:t>1 May 2019</w:t>
            </w:r>
          </w:p>
        </w:tc>
      </w:tr>
      <w:tr w:rsidR="009D03C2" w:rsidRPr="0045051C" w14:paraId="40BEF147" w14:textId="77777777" w:rsidTr="007A66AE">
        <w:tc>
          <w:tcPr>
            <w:tcW w:w="1668" w:type="dxa"/>
            <w:tcBorders>
              <w:top w:val="nil"/>
              <w:left w:val="nil"/>
              <w:bottom w:val="nil"/>
              <w:right w:val="nil"/>
            </w:tcBorders>
          </w:tcPr>
          <w:p w14:paraId="28146D5A" w14:textId="77777777" w:rsidR="009D03C2" w:rsidRPr="0045051C" w:rsidRDefault="009D03C2" w:rsidP="007A66AE">
            <w:pPr>
              <w:tabs>
                <w:tab w:val="left" w:pos="709"/>
                <w:tab w:val="left" w:pos="3119"/>
                <w:tab w:val="left" w:pos="6237"/>
              </w:tabs>
              <w:suppressAutoHyphens/>
              <w:spacing w:after="60" w:line="240" w:lineRule="auto"/>
              <w:jc w:val="center"/>
              <w:rPr>
                <w:rFonts w:eastAsiaTheme="minorHAnsi"/>
                <w:bCs/>
                <w:spacing w:val="-2"/>
                <w:sz w:val="24"/>
                <w:szCs w:val="24"/>
                <w:lang w:val="en-US" w:bidi="en-US"/>
              </w:rPr>
            </w:pPr>
            <w:r w:rsidRPr="0045051C">
              <w:rPr>
                <w:rFonts w:eastAsiaTheme="minorHAnsi"/>
                <w:bCs/>
                <w:spacing w:val="-2"/>
                <w:sz w:val="24"/>
                <w:szCs w:val="24"/>
                <w:lang w:val="en-US" w:bidi="en-US"/>
              </w:rPr>
              <w:t>7</w:t>
            </w:r>
          </w:p>
        </w:tc>
        <w:tc>
          <w:tcPr>
            <w:tcW w:w="2160" w:type="dxa"/>
            <w:tcBorders>
              <w:top w:val="nil"/>
              <w:left w:val="nil"/>
              <w:bottom w:val="nil"/>
              <w:right w:val="nil"/>
            </w:tcBorders>
          </w:tcPr>
          <w:p w14:paraId="32B3EF89" w14:textId="77777777" w:rsidR="009D03C2" w:rsidRPr="0045051C" w:rsidRDefault="009D03C2" w:rsidP="007A66AE">
            <w:pPr>
              <w:tabs>
                <w:tab w:val="left" w:pos="709"/>
                <w:tab w:val="left" w:pos="3119"/>
                <w:tab w:val="left" w:pos="6237"/>
              </w:tabs>
              <w:suppressAutoHyphens/>
              <w:spacing w:after="60" w:line="240" w:lineRule="auto"/>
              <w:rPr>
                <w:rFonts w:eastAsiaTheme="minorHAnsi"/>
                <w:bCs/>
                <w:spacing w:val="-2"/>
                <w:sz w:val="24"/>
                <w:szCs w:val="24"/>
                <w:lang w:val="en-US" w:bidi="en-US"/>
              </w:rPr>
            </w:pPr>
            <w:r w:rsidRPr="0045051C">
              <w:rPr>
                <w:rFonts w:eastAsiaTheme="minorHAnsi"/>
                <w:bCs/>
                <w:spacing w:val="-2"/>
                <w:sz w:val="24"/>
                <w:szCs w:val="24"/>
                <w:lang w:val="en-US" w:bidi="en-US"/>
              </w:rPr>
              <w:t>9 April 2020</w:t>
            </w:r>
          </w:p>
        </w:tc>
        <w:tc>
          <w:tcPr>
            <w:tcW w:w="3000" w:type="dxa"/>
            <w:tcBorders>
              <w:top w:val="nil"/>
              <w:left w:val="nil"/>
              <w:bottom w:val="nil"/>
              <w:right w:val="nil"/>
            </w:tcBorders>
          </w:tcPr>
          <w:p w14:paraId="3BF92C71" w14:textId="77777777" w:rsidR="009D03C2" w:rsidRPr="0045051C" w:rsidRDefault="009D03C2" w:rsidP="00160FC1">
            <w:pPr>
              <w:tabs>
                <w:tab w:val="left" w:pos="709"/>
                <w:tab w:val="left" w:pos="3119"/>
                <w:tab w:val="left" w:pos="6237"/>
              </w:tabs>
              <w:suppressAutoHyphens/>
              <w:spacing w:after="60" w:line="240" w:lineRule="auto"/>
              <w:rPr>
                <w:rFonts w:eastAsiaTheme="minorHAnsi"/>
                <w:bCs/>
                <w:spacing w:val="-2"/>
                <w:sz w:val="24"/>
                <w:szCs w:val="24"/>
                <w:lang w:val="en-US" w:bidi="en-US"/>
              </w:rPr>
            </w:pPr>
            <w:r w:rsidRPr="0045051C">
              <w:rPr>
                <w:rFonts w:eastAsiaTheme="minorHAnsi"/>
                <w:bCs/>
                <w:spacing w:val="-2"/>
                <w:sz w:val="24"/>
                <w:szCs w:val="24"/>
                <w:lang w:val="en-US" w:bidi="en-US"/>
              </w:rPr>
              <w:t xml:space="preserve">14 May 2020, p. </w:t>
            </w:r>
            <w:r w:rsidR="00273167" w:rsidRPr="0045051C">
              <w:rPr>
                <w:rFonts w:eastAsiaTheme="minorHAnsi"/>
                <w:bCs/>
                <w:spacing w:val="-2"/>
                <w:sz w:val="24"/>
                <w:szCs w:val="24"/>
                <w:lang w:val="en-US" w:bidi="en-US"/>
              </w:rPr>
              <w:t>1046</w:t>
            </w:r>
          </w:p>
        </w:tc>
        <w:tc>
          <w:tcPr>
            <w:tcW w:w="2778" w:type="dxa"/>
            <w:tcBorders>
              <w:top w:val="nil"/>
              <w:left w:val="nil"/>
              <w:bottom w:val="nil"/>
              <w:right w:val="nil"/>
            </w:tcBorders>
          </w:tcPr>
          <w:p w14:paraId="612AC470" w14:textId="77777777" w:rsidR="009D03C2" w:rsidRPr="0045051C" w:rsidRDefault="009D03C2" w:rsidP="007A66AE">
            <w:pPr>
              <w:tabs>
                <w:tab w:val="left" w:pos="709"/>
                <w:tab w:val="left" w:pos="3119"/>
                <w:tab w:val="left" w:pos="6237"/>
              </w:tabs>
              <w:suppressAutoHyphens/>
              <w:spacing w:after="60" w:line="240" w:lineRule="auto"/>
              <w:rPr>
                <w:rFonts w:eastAsiaTheme="minorHAnsi"/>
                <w:bCs/>
                <w:spacing w:val="-2"/>
                <w:sz w:val="24"/>
                <w:szCs w:val="24"/>
                <w:lang w:val="en-US" w:bidi="en-US"/>
              </w:rPr>
            </w:pPr>
            <w:r w:rsidRPr="0045051C">
              <w:rPr>
                <w:rFonts w:eastAsiaTheme="minorHAnsi"/>
                <w:bCs/>
                <w:spacing w:val="-2"/>
                <w:sz w:val="24"/>
                <w:szCs w:val="24"/>
                <w:lang w:val="en-US" w:bidi="en-US"/>
              </w:rPr>
              <w:t>18 May 2020</w:t>
            </w:r>
          </w:p>
        </w:tc>
      </w:tr>
      <w:tr w:rsidR="00DC2993" w:rsidRPr="009D03C2" w14:paraId="3F14E4C3" w14:textId="77777777" w:rsidTr="007A66AE">
        <w:tc>
          <w:tcPr>
            <w:tcW w:w="1668" w:type="dxa"/>
            <w:tcBorders>
              <w:top w:val="nil"/>
              <w:left w:val="nil"/>
              <w:bottom w:val="nil"/>
              <w:right w:val="nil"/>
            </w:tcBorders>
          </w:tcPr>
          <w:p w14:paraId="26593079" w14:textId="1F98D200" w:rsidR="00DC2993" w:rsidRPr="009D03C2" w:rsidRDefault="00DC2993" w:rsidP="007A66AE">
            <w:pPr>
              <w:tabs>
                <w:tab w:val="left" w:pos="709"/>
                <w:tab w:val="left" w:pos="3119"/>
                <w:tab w:val="left" w:pos="6237"/>
              </w:tabs>
              <w:suppressAutoHyphens/>
              <w:spacing w:after="60" w:line="240" w:lineRule="auto"/>
              <w:jc w:val="center"/>
              <w:rPr>
                <w:rFonts w:eastAsiaTheme="minorHAnsi"/>
                <w:b/>
                <w:spacing w:val="-2"/>
                <w:sz w:val="24"/>
                <w:szCs w:val="24"/>
                <w:lang w:val="en-US" w:bidi="en-US"/>
              </w:rPr>
            </w:pPr>
            <w:r>
              <w:rPr>
                <w:rFonts w:eastAsiaTheme="minorHAnsi"/>
                <w:b/>
                <w:spacing w:val="-2"/>
                <w:sz w:val="24"/>
                <w:szCs w:val="24"/>
                <w:lang w:val="en-US" w:bidi="en-US"/>
              </w:rPr>
              <w:t>8</w:t>
            </w:r>
          </w:p>
        </w:tc>
        <w:tc>
          <w:tcPr>
            <w:tcW w:w="2160" w:type="dxa"/>
            <w:tcBorders>
              <w:top w:val="nil"/>
              <w:left w:val="nil"/>
              <w:bottom w:val="nil"/>
              <w:right w:val="nil"/>
            </w:tcBorders>
          </w:tcPr>
          <w:p w14:paraId="46A56B1F" w14:textId="5D0EAF1F" w:rsidR="00DC2993" w:rsidRPr="009D03C2" w:rsidRDefault="00DC2993" w:rsidP="007A66AE">
            <w:pPr>
              <w:tabs>
                <w:tab w:val="left" w:pos="709"/>
                <w:tab w:val="left" w:pos="3119"/>
                <w:tab w:val="left" w:pos="6237"/>
              </w:tabs>
              <w:suppressAutoHyphens/>
              <w:spacing w:after="60" w:line="240" w:lineRule="auto"/>
              <w:rPr>
                <w:rFonts w:eastAsiaTheme="minorHAnsi"/>
                <w:b/>
                <w:spacing w:val="-2"/>
                <w:sz w:val="24"/>
                <w:szCs w:val="24"/>
                <w:lang w:val="en-US" w:bidi="en-US"/>
              </w:rPr>
            </w:pPr>
            <w:r>
              <w:rPr>
                <w:rFonts w:eastAsiaTheme="minorHAnsi"/>
                <w:b/>
                <w:spacing w:val="-2"/>
                <w:sz w:val="24"/>
                <w:szCs w:val="24"/>
                <w:lang w:val="en-US" w:bidi="en-US"/>
              </w:rPr>
              <w:t>17 December 2020</w:t>
            </w:r>
          </w:p>
        </w:tc>
        <w:tc>
          <w:tcPr>
            <w:tcW w:w="3000" w:type="dxa"/>
            <w:tcBorders>
              <w:top w:val="nil"/>
              <w:left w:val="nil"/>
              <w:bottom w:val="nil"/>
              <w:right w:val="nil"/>
            </w:tcBorders>
          </w:tcPr>
          <w:p w14:paraId="530B63F2" w14:textId="7087B2D9" w:rsidR="00DC2993" w:rsidRPr="009D03C2" w:rsidRDefault="00DC2993" w:rsidP="00160FC1">
            <w:pPr>
              <w:tabs>
                <w:tab w:val="left" w:pos="709"/>
                <w:tab w:val="left" w:pos="3119"/>
                <w:tab w:val="left" w:pos="6237"/>
              </w:tabs>
              <w:suppressAutoHyphens/>
              <w:spacing w:after="60" w:line="240" w:lineRule="auto"/>
              <w:rPr>
                <w:rFonts w:eastAsiaTheme="minorHAnsi"/>
                <w:b/>
                <w:spacing w:val="-2"/>
                <w:sz w:val="24"/>
                <w:szCs w:val="24"/>
                <w:lang w:val="en-US" w:bidi="en-US"/>
              </w:rPr>
            </w:pPr>
            <w:r>
              <w:rPr>
                <w:rFonts w:eastAsiaTheme="minorHAnsi"/>
                <w:b/>
                <w:spacing w:val="-2"/>
                <w:sz w:val="24"/>
                <w:szCs w:val="24"/>
                <w:lang w:val="en-US" w:bidi="en-US"/>
              </w:rPr>
              <w:t xml:space="preserve">24 December 2020, p. </w:t>
            </w:r>
            <w:r w:rsidR="00CD5EA0">
              <w:rPr>
                <w:rFonts w:eastAsiaTheme="minorHAnsi"/>
                <w:b/>
                <w:spacing w:val="-2"/>
                <w:sz w:val="24"/>
                <w:szCs w:val="24"/>
                <w:lang w:val="en-US" w:bidi="en-US"/>
              </w:rPr>
              <w:t>6136</w:t>
            </w:r>
          </w:p>
        </w:tc>
        <w:tc>
          <w:tcPr>
            <w:tcW w:w="2778" w:type="dxa"/>
            <w:tcBorders>
              <w:top w:val="nil"/>
              <w:left w:val="nil"/>
              <w:bottom w:val="nil"/>
              <w:right w:val="nil"/>
            </w:tcBorders>
          </w:tcPr>
          <w:p w14:paraId="77061307" w14:textId="7F28742A" w:rsidR="00DC2993" w:rsidRPr="009D03C2" w:rsidRDefault="00DC2993" w:rsidP="007A66AE">
            <w:pPr>
              <w:tabs>
                <w:tab w:val="left" w:pos="709"/>
                <w:tab w:val="left" w:pos="3119"/>
                <w:tab w:val="left" w:pos="6237"/>
              </w:tabs>
              <w:suppressAutoHyphens/>
              <w:spacing w:after="60" w:line="240" w:lineRule="auto"/>
              <w:rPr>
                <w:rFonts w:eastAsiaTheme="minorHAnsi"/>
                <w:b/>
                <w:spacing w:val="-2"/>
                <w:sz w:val="24"/>
                <w:szCs w:val="24"/>
                <w:lang w:val="en-US" w:bidi="en-US"/>
              </w:rPr>
            </w:pPr>
            <w:r>
              <w:rPr>
                <w:rFonts w:eastAsiaTheme="minorHAnsi"/>
                <w:b/>
                <w:spacing w:val="-2"/>
                <w:sz w:val="24"/>
                <w:szCs w:val="24"/>
                <w:lang w:val="en-US" w:bidi="en-US"/>
              </w:rPr>
              <w:t>1 January 2021</w:t>
            </w:r>
          </w:p>
        </w:tc>
      </w:tr>
    </w:tbl>
    <w:p w14:paraId="783AFC8B" w14:textId="77777777" w:rsidR="007A66AE" w:rsidRDefault="007A66AE" w:rsidP="00F936EB">
      <w:pPr>
        <w:jc w:val="both"/>
        <w:rPr>
          <w:sz w:val="28"/>
          <w:szCs w:val="28"/>
        </w:rPr>
      </w:pPr>
    </w:p>
    <w:p w14:paraId="09F752D7" w14:textId="77777777" w:rsidR="007A66AE" w:rsidRDefault="007A66AE" w:rsidP="00F936EB">
      <w:pPr>
        <w:jc w:val="both"/>
        <w:rPr>
          <w:sz w:val="28"/>
          <w:szCs w:val="28"/>
        </w:rPr>
      </w:pPr>
    </w:p>
    <w:p w14:paraId="7031BCC6" w14:textId="77777777" w:rsidR="007A66AE" w:rsidRDefault="007A66AE" w:rsidP="00F936EB">
      <w:pPr>
        <w:jc w:val="both"/>
        <w:rPr>
          <w:sz w:val="28"/>
          <w:szCs w:val="28"/>
        </w:rPr>
      </w:pPr>
    </w:p>
    <w:p w14:paraId="3F23DA63" w14:textId="77777777" w:rsidR="00F936EB" w:rsidRPr="007A66AE" w:rsidRDefault="00F936EB" w:rsidP="00F936EB">
      <w:pPr>
        <w:jc w:val="both"/>
        <w:rPr>
          <w:sz w:val="24"/>
          <w:szCs w:val="24"/>
        </w:rPr>
      </w:pPr>
      <w:r w:rsidRPr="007A66AE">
        <w:rPr>
          <w:sz w:val="24"/>
          <w:szCs w:val="24"/>
        </w:rPr>
        <w:t xml:space="preserve">By virtue and in pursuance of Section 51 of the </w:t>
      </w:r>
      <w:r w:rsidRPr="007A66AE">
        <w:rPr>
          <w:i/>
          <w:sz w:val="24"/>
          <w:szCs w:val="24"/>
        </w:rPr>
        <w:t>District Court Act 1991</w:t>
      </w:r>
      <w:r w:rsidRPr="007A66AE">
        <w:rPr>
          <w:sz w:val="24"/>
          <w:szCs w:val="24"/>
        </w:rPr>
        <w:t xml:space="preserve"> and all other enabling powers, we, Geoffrey Louis </w:t>
      </w:r>
      <w:proofErr w:type="spellStart"/>
      <w:r w:rsidRPr="007A66AE">
        <w:rPr>
          <w:sz w:val="24"/>
          <w:szCs w:val="24"/>
        </w:rPr>
        <w:t>Muecke</w:t>
      </w:r>
      <w:proofErr w:type="spellEnd"/>
      <w:r w:rsidRPr="007A66AE">
        <w:rPr>
          <w:sz w:val="24"/>
          <w:szCs w:val="24"/>
        </w:rPr>
        <w:t xml:space="preserve">, Chief Judge, and Rauf </w:t>
      </w:r>
      <w:proofErr w:type="spellStart"/>
      <w:r w:rsidRPr="007A66AE">
        <w:rPr>
          <w:sz w:val="24"/>
          <w:szCs w:val="24"/>
        </w:rPr>
        <w:t>Soulio</w:t>
      </w:r>
      <w:proofErr w:type="spellEnd"/>
      <w:r w:rsidRPr="007A66AE">
        <w:rPr>
          <w:sz w:val="24"/>
          <w:szCs w:val="24"/>
        </w:rPr>
        <w:t xml:space="preserve"> and Paul Vincent Slattery, Judges of the District Court of South Australia, make the following Rules of Court.</w:t>
      </w:r>
    </w:p>
    <w:p w14:paraId="5D7DD584" w14:textId="77777777" w:rsidR="00F936EB" w:rsidRDefault="00F936EB" w:rsidP="00F936EB">
      <w:pPr>
        <w:jc w:val="center"/>
        <w:rPr>
          <w:b/>
          <w:sz w:val="36"/>
          <w:szCs w:val="36"/>
        </w:rPr>
      </w:pPr>
    </w:p>
    <w:p w14:paraId="3F7502B8" w14:textId="77777777" w:rsidR="00C80328" w:rsidRDefault="00C80328" w:rsidP="00F936EB">
      <w:pPr>
        <w:jc w:val="center"/>
        <w:rPr>
          <w:b/>
          <w:sz w:val="36"/>
          <w:szCs w:val="36"/>
        </w:rPr>
      </w:pPr>
    </w:p>
    <w:p w14:paraId="06F6178D" w14:textId="77777777" w:rsidR="00C80328" w:rsidRDefault="00C80328" w:rsidP="00F936EB">
      <w:pPr>
        <w:jc w:val="center"/>
        <w:rPr>
          <w:b/>
          <w:sz w:val="36"/>
          <w:szCs w:val="36"/>
        </w:rPr>
      </w:pPr>
    </w:p>
    <w:p w14:paraId="29F2335F" w14:textId="77777777" w:rsidR="00F936EB" w:rsidRDefault="00F936EB" w:rsidP="00F936EB">
      <w:pPr>
        <w:jc w:val="center"/>
        <w:rPr>
          <w:b/>
          <w:sz w:val="36"/>
          <w:szCs w:val="36"/>
        </w:rPr>
      </w:pPr>
    </w:p>
    <w:bookmarkEnd w:id="0"/>
    <w:bookmarkEnd w:id="1"/>
    <w:bookmarkEnd w:id="2"/>
    <w:p w14:paraId="4BA9915D" w14:textId="77777777" w:rsidR="00F936EB" w:rsidRDefault="00F936EB" w:rsidP="00F936EB">
      <w:pPr>
        <w:spacing w:after="0" w:line="240" w:lineRule="auto"/>
        <w:rPr>
          <w:sz w:val="28"/>
          <w:szCs w:val="28"/>
        </w:rPr>
        <w:sectPr w:rsidR="00F936EB" w:rsidSect="00590EAB">
          <w:footerReference w:type="first" r:id="rId8"/>
          <w:pgSz w:w="11906" w:h="16838"/>
          <w:pgMar w:top="1440" w:right="1440" w:bottom="1440" w:left="1440" w:header="708" w:footer="708" w:gutter="0"/>
          <w:cols w:space="708"/>
          <w:docGrid w:linePitch="360"/>
        </w:sectPr>
      </w:pPr>
    </w:p>
    <w:p w14:paraId="433A6C0F" w14:textId="77777777" w:rsidR="00F936EB" w:rsidRPr="0008682E" w:rsidRDefault="00F936EB" w:rsidP="00464016">
      <w:pPr>
        <w:pStyle w:val="TOC1"/>
      </w:pPr>
      <w:r w:rsidRPr="0008682E">
        <w:lastRenderedPageBreak/>
        <w:t>Contents</w:t>
      </w:r>
    </w:p>
    <w:p w14:paraId="57B92660" w14:textId="7925BB5C" w:rsidR="00CD5EA0" w:rsidRDefault="004A770D">
      <w:pPr>
        <w:pStyle w:val="TOC1"/>
        <w:rPr>
          <w:rFonts w:asciiTheme="minorHAnsi" w:eastAsiaTheme="minorEastAsia" w:hAnsiTheme="minorHAnsi" w:cstheme="minorBidi"/>
          <w:b w:val="0"/>
          <w:color w:val="auto"/>
          <w:kern w:val="0"/>
          <w:sz w:val="22"/>
          <w:szCs w:val="22"/>
          <w:lang w:val="en-AU" w:eastAsia="en-AU"/>
        </w:rPr>
      </w:pPr>
      <w:r>
        <w:fldChar w:fldCharType="begin"/>
      </w:r>
      <w:r w:rsidR="00F936EB">
        <w:instrText xml:space="preserve"> TOC \n \p " " \h \z \t "Chapter,1,Part,2,clausehead,3" </w:instrText>
      </w:r>
      <w:r>
        <w:fldChar w:fldCharType="separate"/>
      </w:r>
      <w:hyperlink w:anchor="_Toc60132375" w:history="1">
        <w:r w:rsidR="00CD5EA0" w:rsidRPr="005E7011">
          <w:rPr>
            <w:rStyle w:val="Hyperlink"/>
          </w:rPr>
          <w:t>Chapter 1—Preliminary</w:t>
        </w:r>
      </w:hyperlink>
    </w:p>
    <w:p w14:paraId="75020DB5" w14:textId="6970A5CF"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76" w:history="1">
        <w:r w:rsidR="00CD5EA0" w:rsidRPr="005E7011">
          <w:rPr>
            <w:rStyle w:val="Hyperlink"/>
            <w:noProof/>
          </w:rPr>
          <w:t>Part 1—Formal provisions</w:t>
        </w:r>
      </w:hyperlink>
    </w:p>
    <w:p w14:paraId="6AD4DAFA" w14:textId="0CBC7167"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77" w:history="1">
        <w:r w:rsidR="00CD5EA0" w:rsidRPr="005E7011">
          <w:rPr>
            <w:rStyle w:val="Hyperlink"/>
          </w:rPr>
          <w:t>1—Citation</w:t>
        </w:r>
      </w:hyperlink>
    </w:p>
    <w:p w14:paraId="02E19D56" w14:textId="0E8AA4BD"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78" w:history="1">
        <w:r w:rsidR="00CD5EA0" w:rsidRPr="005E7011">
          <w:rPr>
            <w:rStyle w:val="Hyperlink"/>
          </w:rPr>
          <w:t>2—Commencement</w:t>
        </w:r>
      </w:hyperlink>
    </w:p>
    <w:p w14:paraId="245DB11A" w14:textId="33C30BC1"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79" w:history="1">
        <w:r w:rsidR="00CD5EA0" w:rsidRPr="005E7011">
          <w:rPr>
            <w:rStyle w:val="Hyperlink"/>
            <w:noProof/>
          </w:rPr>
          <w:t>Part 2—Objects</w:t>
        </w:r>
      </w:hyperlink>
    </w:p>
    <w:p w14:paraId="39600984" w14:textId="05F849A4"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80" w:history="1">
        <w:r w:rsidR="00CD5EA0" w:rsidRPr="005E7011">
          <w:rPr>
            <w:rStyle w:val="Hyperlink"/>
            <w:noProof/>
          </w:rPr>
          <w:t>Part 3—Interpretation</w:t>
        </w:r>
      </w:hyperlink>
    </w:p>
    <w:p w14:paraId="3459D9FB" w14:textId="77A0683C"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81" w:history="1">
        <w:r w:rsidR="00CD5EA0" w:rsidRPr="005E7011">
          <w:rPr>
            <w:rStyle w:val="Hyperlink"/>
          </w:rPr>
          <w:t>3—Interpretation</w:t>
        </w:r>
      </w:hyperlink>
    </w:p>
    <w:p w14:paraId="760C4188" w14:textId="256117CE"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82" w:history="1">
        <w:r w:rsidR="00CD5EA0" w:rsidRPr="005E7011">
          <w:rPr>
            <w:rStyle w:val="Hyperlink"/>
          </w:rPr>
          <w:t>3A—Numbering of Rules</w:t>
        </w:r>
      </w:hyperlink>
    </w:p>
    <w:p w14:paraId="4F3AE5F5" w14:textId="22AC3DC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83" w:history="1">
        <w:r w:rsidR="00CD5EA0" w:rsidRPr="005E7011">
          <w:rPr>
            <w:rStyle w:val="Hyperlink"/>
            <w:noProof/>
          </w:rPr>
          <w:t>Part 4—Application of Rules</w:t>
        </w:r>
      </w:hyperlink>
    </w:p>
    <w:p w14:paraId="2194C30B" w14:textId="32BE7DC7"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84" w:history="1">
        <w:r w:rsidR="00CD5EA0" w:rsidRPr="005E7011">
          <w:rPr>
            <w:rStyle w:val="Hyperlink"/>
          </w:rPr>
          <w:t>4—Note- there is no rule 4</w:t>
        </w:r>
      </w:hyperlink>
    </w:p>
    <w:p w14:paraId="630B4B12" w14:textId="097287DE"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85" w:history="1">
        <w:r w:rsidR="00CD5EA0" w:rsidRPr="005E7011">
          <w:rPr>
            <w:rStyle w:val="Hyperlink"/>
            <w:noProof/>
          </w:rPr>
          <w:t>Part 5—Repeal and transitional provisions</w:t>
        </w:r>
      </w:hyperlink>
    </w:p>
    <w:p w14:paraId="434BD5B8" w14:textId="7ED8580B"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86" w:history="1">
        <w:r w:rsidR="00CD5EA0" w:rsidRPr="005E7011">
          <w:rPr>
            <w:rStyle w:val="Hyperlink"/>
          </w:rPr>
          <w:t>5—Repeal and transitional provision</w:t>
        </w:r>
      </w:hyperlink>
    </w:p>
    <w:p w14:paraId="4F52C810" w14:textId="15783559"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387" w:history="1">
        <w:r w:rsidR="00CD5EA0" w:rsidRPr="005E7011">
          <w:rPr>
            <w:rStyle w:val="Hyperlink"/>
          </w:rPr>
          <w:t>Chapter 2—General procedural rules and allocation of Court business</w:t>
        </w:r>
      </w:hyperlink>
    </w:p>
    <w:p w14:paraId="35D1EDF2" w14:textId="782BC55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88" w:history="1">
        <w:r w:rsidR="00CD5EA0" w:rsidRPr="005E7011">
          <w:rPr>
            <w:rStyle w:val="Hyperlink"/>
            <w:noProof/>
          </w:rPr>
          <w:t>Part 1—Sittings</w:t>
        </w:r>
      </w:hyperlink>
    </w:p>
    <w:p w14:paraId="51A2387A" w14:textId="756FB842"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89" w:history="1">
        <w:r w:rsidR="00CD5EA0" w:rsidRPr="005E7011">
          <w:rPr>
            <w:rStyle w:val="Hyperlink"/>
            <w:noProof/>
          </w:rPr>
          <w:t>Part 2—Public access to hearings</w:t>
        </w:r>
      </w:hyperlink>
    </w:p>
    <w:p w14:paraId="575D78CF" w14:textId="4E7BB1AA"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90" w:history="1">
        <w:r w:rsidR="00CD5EA0" w:rsidRPr="005E7011">
          <w:rPr>
            <w:rStyle w:val="Hyperlink"/>
            <w:noProof/>
          </w:rPr>
          <w:t>Part 3—Court's control of procedure</w:t>
        </w:r>
      </w:hyperlink>
    </w:p>
    <w:p w14:paraId="37F08AE5" w14:textId="27B7048F"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91" w:history="1">
        <w:r w:rsidR="00CD5EA0" w:rsidRPr="005E7011">
          <w:rPr>
            <w:rStyle w:val="Hyperlink"/>
            <w:noProof/>
          </w:rPr>
          <w:t>Part 4—Distribution of Court's business</w:t>
        </w:r>
      </w:hyperlink>
    </w:p>
    <w:p w14:paraId="220D4A09" w14:textId="5253EE25"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92" w:history="1">
        <w:r w:rsidR="00CD5EA0" w:rsidRPr="005E7011">
          <w:rPr>
            <w:rStyle w:val="Hyperlink"/>
            <w:noProof/>
          </w:rPr>
          <w:t>Part 5—Representation</w:t>
        </w:r>
      </w:hyperlink>
    </w:p>
    <w:p w14:paraId="72DE02C0" w14:textId="5A0997B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93" w:history="1">
        <w:r w:rsidR="00CD5EA0" w:rsidRPr="005E7011">
          <w:rPr>
            <w:rStyle w:val="Hyperlink"/>
          </w:rPr>
          <w:t>6—Notice of acting and address for service</w:t>
        </w:r>
      </w:hyperlink>
    </w:p>
    <w:p w14:paraId="4A1C6487" w14:textId="3A6CE1C2"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394" w:history="1">
        <w:r w:rsidR="00CD5EA0" w:rsidRPr="005E7011">
          <w:rPr>
            <w:rStyle w:val="Hyperlink"/>
          </w:rPr>
          <w:t>Chapter 3—Initiation of criminal proceedings</w:t>
        </w:r>
      </w:hyperlink>
    </w:p>
    <w:p w14:paraId="3E4974B9" w14:textId="51FE2538"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95" w:history="1">
        <w:r w:rsidR="00CD5EA0" w:rsidRPr="005E7011">
          <w:rPr>
            <w:rStyle w:val="Hyperlink"/>
            <w:noProof/>
          </w:rPr>
          <w:t>Part 1—Information</w:t>
        </w:r>
      </w:hyperlink>
    </w:p>
    <w:p w14:paraId="230FA358" w14:textId="3728E0B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96" w:history="1">
        <w:r w:rsidR="00CD5EA0" w:rsidRPr="005E7011">
          <w:rPr>
            <w:rStyle w:val="Hyperlink"/>
          </w:rPr>
          <w:t>7—Information</w:t>
        </w:r>
      </w:hyperlink>
    </w:p>
    <w:p w14:paraId="29FA1B0C" w14:textId="3ADCB70A"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97" w:history="1">
        <w:r w:rsidR="00CD5EA0" w:rsidRPr="005E7011">
          <w:rPr>
            <w:rStyle w:val="Hyperlink"/>
          </w:rPr>
          <w:t>7A—Statement before arraignment</w:t>
        </w:r>
      </w:hyperlink>
    </w:p>
    <w:p w14:paraId="7AEC580C" w14:textId="43DAF8AA"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398" w:history="1">
        <w:r w:rsidR="00CD5EA0" w:rsidRPr="005E7011">
          <w:rPr>
            <w:rStyle w:val="Hyperlink"/>
            <w:noProof/>
          </w:rPr>
          <w:t>Part 2—Arraignment</w:t>
        </w:r>
      </w:hyperlink>
    </w:p>
    <w:p w14:paraId="57FAC981" w14:textId="1F866858"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399" w:history="1">
        <w:r w:rsidR="00CD5EA0" w:rsidRPr="005E7011">
          <w:rPr>
            <w:rStyle w:val="Hyperlink"/>
          </w:rPr>
          <w:t>8—Timing of arraignment and listing of trials</w:t>
        </w:r>
      </w:hyperlink>
    </w:p>
    <w:p w14:paraId="4B115186" w14:textId="60A36DC5"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0" w:history="1">
        <w:r w:rsidR="00CD5EA0" w:rsidRPr="005E7011">
          <w:rPr>
            <w:rStyle w:val="Hyperlink"/>
          </w:rPr>
          <w:t>9—Procedure at arraignment</w:t>
        </w:r>
      </w:hyperlink>
    </w:p>
    <w:p w14:paraId="72715E97" w14:textId="22F3A1F4"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01" w:history="1">
        <w:r w:rsidR="00CD5EA0" w:rsidRPr="005E7011">
          <w:rPr>
            <w:rStyle w:val="Hyperlink"/>
            <w:noProof/>
          </w:rPr>
          <w:t>Part 3—Listing for trial and disposition of cases</w:t>
        </w:r>
      </w:hyperlink>
    </w:p>
    <w:p w14:paraId="0246A9B1" w14:textId="3B046442"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2" w:history="1">
        <w:r w:rsidR="00CD5EA0" w:rsidRPr="005E7011">
          <w:rPr>
            <w:rStyle w:val="Hyperlink"/>
          </w:rPr>
          <w:t>10—Disposition of cases</w:t>
        </w:r>
      </w:hyperlink>
    </w:p>
    <w:p w14:paraId="6BE88EE4" w14:textId="043EBF88"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3" w:history="1">
        <w:r w:rsidR="00CD5EA0" w:rsidRPr="005E7011">
          <w:rPr>
            <w:rStyle w:val="Hyperlink"/>
          </w:rPr>
          <w:t>11—Listing of trials</w:t>
        </w:r>
      </w:hyperlink>
    </w:p>
    <w:p w14:paraId="53BEA562" w14:textId="07583773"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04" w:history="1">
        <w:r w:rsidR="00CD5EA0" w:rsidRPr="005E7011">
          <w:rPr>
            <w:rStyle w:val="Hyperlink"/>
          </w:rPr>
          <w:t>Chapter 4—Documents, service and hearings generally</w:t>
        </w:r>
      </w:hyperlink>
    </w:p>
    <w:p w14:paraId="53DB8860" w14:textId="57456F24"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05" w:history="1">
        <w:r w:rsidR="00CD5EA0" w:rsidRPr="005E7011">
          <w:rPr>
            <w:rStyle w:val="Hyperlink"/>
            <w:noProof/>
          </w:rPr>
          <w:t>Part 1—Documents</w:t>
        </w:r>
      </w:hyperlink>
    </w:p>
    <w:p w14:paraId="280BBAAB" w14:textId="43194C66"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6" w:history="1">
        <w:r w:rsidR="00CD5EA0" w:rsidRPr="005E7011">
          <w:rPr>
            <w:rStyle w:val="Hyperlink"/>
          </w:rPr>
          <w:t>12—Approved forms</w:t>
        </w:r>
      </w:hyperlink>
    </w:p>
    <w:p w14:paraId="65050C42" w14:textId="33B68E7B"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7" w:history="1">
        <w:r w:rsidR="00CD5EA0" w:rsidRPr="005E7011">
          <w:rPr>
            <w:rStyle w:val="Hyperlink"/>
          </w:rPr>
          <w:t>13—Form of documents</w:t>
        </w:r>
      </w:hyperlink>
    </w:p>
    <w:p w14:paraId="0DB42D86" w14:textId="6DC6C76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8" w:history="1">
        <w:r w:rsidR="00CD5EA0" w:rsidRPr="005E7011">
          <w:rPr>
            <w:rStyle w:val="Hyperlink"/>
          </w:rPr>
          <w:t>14—Original of affidavit</w:t>
        </w:r>
      </w:hyperlink>
    </w:p>
    <w:p w14:paraId="54433696" w14:textId="45642BF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09" w:history="1">
        <w:r w:rsidR="00CD5EA0" w:rsidRPr="005E7011">
          <w:rPr>
            <w:rStyle w:val="Hyperlink"/>
          </w:rPr>
          <w:t>15—Form of affidavit</w:t>
        </w:r>
      </w:hyperlink>
    </w:p>
    <w:p w14:paraId="3191E838" w14:textId="17539745"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0" w:history="1">
        <w:r w:rsidR="00CD5EA0" w:rsidRPr="005E7011">
          <w:rPr>
            <w:rStyle w:val="Hyperlink"/>
          </w:rPr>
          <w:t>16—Exhibits to affidavit</w:t>
        </w:r>
      </w:hyperlink>
    </w:p>
    <w:p w14:paraId="45866A02" w14:textId="0DC29B0D"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1" w:history="1">
        <w:r w:rsidR="00CD5EA0" w:rsidRPr="005E7011">
          <w:rPr>
            <w:rStyle w:val="Hyperlink"/>
            <w:lang w:val="en-GB"/>
          </w:rPr>
          <w:t>17—Binding of affidavit and exhibits</w:t>
        </w:r>
      </w:hyperlink>
    </w:p>
    <w:p w14:paraId="509DBB5F" w14:textId="3C7BE93C"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2" w:history="1">
        <w:r w:rsidR="00CD5EA0" w:rsidRPr="005E7011">
          <w:rPr>
            <w:rStyle w:val="Hyperlink"/>
          </w:rPr>
          <w:t>18—Form of list of authorities</w:t>
        </w:r>
      </w:hyperlink>
    </w:p>
    <w:p w14:paraId="4E2A13E3" w14:textId="7BCC733C"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3" w:history="1">
        <w:r w:rsidR="00CD5EA0" w:rsidRPr="005E7011">
          <w:rPr>
            <w:rStyle w:val="Hyperlink"/>
          </w:rPr>
          <w:t>19—Citations in list of authorities</w:t>
        </w:r>
      </w:hyperlink>
    </w:p>
    <w:p w14:paraId="3F49C647" w14:textId="24570357"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4" w:history="1">
        <w:r w:rsidR="00CD5EA0" w:rsidRPr="005E7011">
          <w:rPr>
            <w:rStyle w:val="Hyperlink"/>
          </w:rPr>
          <w:t>20—Electronic delivery of written submission or summary of argument and list of authorities</w:t>
        </w:r>
      </w:hyperlink>
    </w:p>
    <w:p w14:paraId="0C487154" w14:textId="49646B44"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5" w:history="1">
        <w:r w:rsidR="00CD5EA0" w:rsidRPr="005E7011">
          <w:rPr>
            <w:rStyle w:val="Hyperlink"/>
          </w:rPr>
          <w:t>21—Criminal Registry</w:t>
        </w:r>
      </w:hyperlink>
    </w:p>
    <w:p w14:paraId="52306DB2" w14:textId="73EAA12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16" w:history="1">
        <w:r w:rsidR="00CD5EA0" w:rsidRPr="005E7011">
          <w:rPr>
            <w:rStyle w:val="Hyperlink"/>
            <w:noProof/>
          </w:rPr>
          <w:t>Part 2—Service</w:t>
        </w:r>
      </w:hyperlink>
    </w:p>
    <w:p w14:paraId="26ED18C3" w14:textId="13C920EC"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7" w:history="1">
        <w:r w:rsidR="00CD5EA0" w:rsidRPr="005E7011">
          <w:rPr>
            <w:rStyle w:val="Hyperlink"/>
          </w:rPr>
          <w:t>22—Address for service</w:t>
        </w:r>
      </w:hyperlink>
    </w:p>
    <w:p w14:paraId="70DBB52C" w14:textId="06053A7D"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18" w:history="1">
        <w:r w:rsidR="00CD5EA0" w:rsidRPr="005E7011">
          <w:rPr>
            <w:rStyle w:val="Hyperlink"/>
            <w:noProof/>
          </w:rPr>
          <w:t>Part 3—Hearings generally</w:t>
        </w:r>
      </w:hyperlink>
    </w:p>
    <w:p w14:paraId="37C24C00" w14:textId="7B3C3D3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19" w:history="1">
        <w:r w:rsidR="00CD5EA0" w:rsidRPr="005E7011">
          <w:rPr>
            <w:rStyle w:val="Hyperlink"/>
          </w:rPr>
          <w:t>23—Appearance of defendant by audiovisual link</w:t>
        </w:r>
      </w:hyperlink>
    </w:p>
    <w:p w14:paraId="33EA6EF2" w14:textId="04B9DD09"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0" w:history="1">
        <w:r w:rsidR="00CD5EA0" w:rsidRPr="005E7011">
          <w:rPr>
            <w:rStyle w:val="Hyperlink"/>
          </w:rPr>
          <w:t>24—Addressing Judges</w:t>
        </w:r>
      </w:hyperlink>
    </w:p>
    <w:p w14:paraId="43AF16AD" w14:textId="56656F15"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1" w:history="1">
        <w:r w:rsidR="00CD5EA0" w:rsidRPr="005E7011">
          <w:rPr>
            <w:rStyle w:val="Hyperlink"/>
          </w:rPr>
          <w:t>25—Barristers’ attire</w:t>
        </w:r>
      </w:hyperlink>
    </w:p>
    <w:p w14:paraId="2F05BFBE" w14:textId="5C5954FE"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2" w:history="1">
        <w:r w:rsidR="00CD5EA0" w:rsidRPr="005E7011">
          <w:rPr>
            <w:rStyle w:val="Hyperlink"/>
          </w:rPr>
          <w:t>26—Noting of appearances of counsel and solicitors</w:t>
        </w:r>
      </w:hyperlink>
    </w:p>
    <w:p w14:paraId="0A99AE26" w14:textId="2F729DAE"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3" w:history="1">
        <w:r w:rsidR="00CD5EA0" w:rsidRPr="005E7011">
          <w:rPr>
            <w:rStyle w:val="Hyperlink"/>
          </w:rPr>
          <w:t>27—Interpreters in court</w:t>
        </w:r>
      </w:hyperlink>
    </w:p>
    <w:p w14:paraId="44BA9E47" w14:textId="3D4AB04E"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4" w:history="1">
        <w:r w:rsidR="00CD5EA0" w:rsidRPr="005E7011">
          <w:rPr>
            <w:rStyle w:val="Hyperlink"/>
          </w:rPr>
          <w:t>28—Copies of authorities</w:t>
        </w:r>
      </w:hyperlink>
    </w:p>
    <w:p w14:paraId="4656E5A8" w14:textId="2BC2F9E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5" w:history="1">
        <w:r w:rsidR="00CD5EA0" w:rsidRPr="005E7011">
          <w:rPr>
            <w:rStyle w:val="Hyperlink"/>
          </w:rPr>
          <w:t>29—Information for reporters</w:t>
        </w:r>
      </w:hyperlink>
    </w:p>
    <w:p w14:paraId="0EB52C09" w14:textId="6F46631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6" w:history="1">
        <w:r w:rsidR="00CD5EA0" w:rsidRPr="005E7011">
          <w:rPr>
            <w:rStyle w:val="Hyperlink"/>
          </w:rPr>
          <w:t>30—Record of proceedings</w:t>
        </w:r>
      </w:hyperlink>
    </w:p>
    <w:p w14:paraId="57670C1E" w14:textId="3FE4E40C"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27" w:history="1">
        <w:r w:rsidR="00CD5EA0" w:rsidRPr="005E7011">
          <w:rPr>
            <w:rStyle w:val="Hyperlink"/>
            <w:noProof/>
          </w:rPr>
          <w:t>Part 4—Hearings for interstate courts</w:t>
        </w:r>
      </w:hyperlink>
    </w:p>
    <w:p w14:paraId="2748B33E" w14:textId="611B30EB"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28" w:history="1">
        <w:r w:rsidR="00CD5EA0" w:rsidRPr="005E7011">
          <w:rPr>
            <w:rStyle w:val="Hyperlink"/>
          </w:rPr>
          <w:t>Chapter 5—Election for trial by Judge alone</w:t>
        </w:r>
      </w:hyperlink>
    </w:p>
    <w:p w14:paraId="2B110AEC" w14:textId="4299DB18"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29" w:history="1">
        <w:r w:rsidR="00CD5EA0" w:rsidRPr="005E7011">
          <w:rPr>
            <w:rStyle w:val="Hyperlink"/>
          </w:rPr>
          <w:t>31—Manner of making election</w:t>
        </w:r>
      </w:hyperlink>
    </w:p>
    <w:p w14:paraId="47DCB874" w14:textId="28249561"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0" w:history="1">
        <w:r w:rsidR="00CD5EA0" w:rsidRPr="005E7011">
          <w:rPr>
            <w:rStyle w:val="Hyperlink"/>
          </w:rPr>
          <w:t>32—Practitioner’s certificate</w:t>
        </w:r>
      </w:hyperlink>
    </w:p>
    <w:p w14:paraId="799D273C" w14:textId="364686C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1" w:history="1">
        <w:r w:rsidR="00CD5EA0" w:rsidRPr="005E7011">
          <w:rPr>
            <w:rStyle w:val="Hyperlink"/>
          </w:rPr>
          <w:t>33—Revocation of election</w:t>
        </w:r>
      </w:hyperlink>
    </w:p>
    <w:p w14:paraId="1CF7149F" w14:textId="4C3E0D27"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32" w:history="1">
        <w:r w:rsidR="00CD5EA0" w:rsidRPr="005E7011">
          <w:rPr>
            <w:rStyle w:val="Hyperlink"/>
          </w:rPr>
          <w:t>Chapter 6—Pre-trial applications and directions</w:t>
        </w:r>
      </w:hyperlink>
    </w:p>
    <w:p w14:paraId="4DDED9EC" w14:textId="161C42D5"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33" w:history="1">
        <w:r w:rsidR="00CD5EA0" w:rsidRPr="005E7011">
          <w:rPr>
            <w:rStyle w:val="Hyperlink"/>
            <w:noProof/>
          </w:rPr>
          <w:t>Part 1—Matters before first directions hearing</w:t>
        </w:r>
      </w:hyperlink>
    </w:p>
    <w:p w14:paraId="795B1B7B" w14:textId="13A0BA2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4" w:history="1">
        <w:r w:rsidR="00CD5EA0" w:rsidRPr="005E7011">
          <w:rPr>
            <w:rStyle w:val="Hyperlink"/>
          </w:rPr>
          <w:t>34—Representation of defendants</w:t>
        </w:r>
      </w:hyperlink>
    </w:p>
    <w:p w14:paraId="373A3B57" w14:textId="649883C9"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5" w:history="1">
        <w:r w:rsidR="00CD5EA0" w:rsidRPr="005E7011">
          <w:rPr>
            <w:rStyle w:val="Hyperlink"/>
          </w:rPr>
          <w:t>34A—First Directions Hearing</w:t>
        </w:r>
      </w:hyperlink>
    </w:p>
    <w:p w14:paraId="5003439C" w14:textId="2CD333CD"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6" w:history="1">
        <w:r w:rsidR="00CD5EA0" w:rsidRPr="005E7011">
          <w:rPr>
            <w:rStyle w:val="Hyperlink"/>
          </w:rPr>
          <w:t>34B—Second Directions Hearing</w:t>
        </w:r>
      </w:hyperlink>
    </w:p>
    <w:p w14:paraId="28458AB2" w14:textId="1B4138B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7" w:history="1">
        <w:r w:rsidR="00CD5EA0" w:rsidRPr="005E7011">
          <w:rPr>
            <w:rStyle w:val="Hyperlink"/>
          </w:rPr>
          <w:t>34C—Pre-trial directions hearing</w:t>
        </w:r>
      </w:hyperlink>
    </w:p>
    <w:p w14:paraId="0EE68C09" w14:textId="1BEC7951"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38" w:history="1">
        <w:r w:rsidR="00CD5EA0" w:rsidRPr="005E7011">
          <w:rPr>
            <w:rStyle w:val="Hyperlink"/>
          </w:rPr>
          <w:t>35—*****************************************************************</w:t>
        </w:r>
      </w:hyperlink>
    </w:p>
    <w:p w14:paraId="3D96DFAE" w14:textId="6EDECD39"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39" w:history="1">
        <w:r w:rsidR="00CD5EA0" w:rsidRPr="005E7011">
          <w:rPr>
            <w:rStyle w:val="Hyperlink"/>
            <w:noProof/>
          </w:rPr>
          <w:t>Part 2—Convening directions hearings</w:t>
        </w:r>
      </w:hyperlink>
    </w:p>
    <w:p w14:paraId="600FE8B5" w14:textId="1D998381"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40" w:history="1">
        <w:r w:rsidR="00CD5EA0" w:rsidRPr="005E7011">
          <w:rPr>
            <w:rStyle w:val="Hyperlink"/>
            <w:noProof/>
          </w:rPr>
          <w:t>Part 3—Pre-trial applications</w:t>
        </w:r>
      </w:hyperlink>
    </w:p>
    <w:p w14:paraId="5D5F4111" w14:textId="07EF157D"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41" w:history="1">
        <w:r w:rsidR="00CD5EA0" w:rsidRPr="005E7011">
          <w:rPr>
            <w:rStyle w:val="Hyperlink"/>
          </w:rPr>
          <w:t>36—Written applications</w:t>
        </w:r>
      </w:hyperlink>
    </w:p>
    <w:p w14:paraId="2A5016CC" w14:textId="06549E1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42" w:history="1">
        <w:r w:rsidR="00CD5EA0" w:rsidRPr="005E7011">
          <w:rPr>
            <w:rStyle w:val="Hyperlink"/>
            <w:noProof/>
          </w:rPr>
          <w:t>Part 3A—Bail applications</w:t>
        </w:r>
      </w:hyperlink>
    </w:p>
    <w:p w14:paraId="5D875FFB" w14:textId="2ADD223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43" w:history="1">
        <w:r w:rsidR="00CD5EA0" w:rsidRPr="005E7011">
          <w:rPr>
            <w:rStyle w:val="Hyperlink"/>
          </w:rPr>
          <w:t>36AA—Making bail application</w:t>
        </w:r>
      </w:hyperlink>
    </w:p>
    <w:p w14:paraId="2D7A1227" w14:textId="2FE6C70E"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44" w:history="1">
        <w:r w:rsidR="00CD5EA0" w:rsidRPr="005E7011">
          <w:rPr>
            <w:rStyle w:val="Hyperlink"/>
            <w:noProof/>
          </w:rPr>
          <w:t>Part 4—Determination without oral hearing</w:t>
        </w:r>
      </w:hyperlink>
    </w:p>
    <w:p w14:paraId="3F172035" w14:textId="1DFDC665"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45" w:history="1">
        <w:r w:rsidR="00CD5EA0" w:rsidRPr="005E7011">
          <w:rPr>
            <w:rStyle w:val="Hyperlink"/>
            <w:noProof/>
          </w:rPr>
          <w:t>Part 5—Proceedings at directions hearings</w:t>
        </w:r>
      </w:hyperlink>
    </w:p>
    <w:p w14:paraId="753B7A60" w14:textId="383A0D98"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46" w:history="1">
        <w:r w:rsidR="00CD5EA0" w:rsidRPr="005E7011">
          <w:rPr>
            <w:rStyle w:val="Hyperlink"/>
          </w:rPr>
          <w:t>36A—First Directions Hearing – Call Over</w:t>
        </w:r>
      </w:hyperlink>
    </w:p>
    <w:p w14:paraId="05D2AF03" w14:textId="74AF27A5"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47" w:history="1">
        <w:r w:rsidR="00CD5EA0" w:rsidRPr="005E7011">
          <w:rPr>
            <w:rStyle w:val="Hyperlink"/>
          </w:rPr>
          <w:t>36B—Second Directions Hearing – Call Over</w:t>
        </w:r>
      </w:hyperlink>
    </w:p>
    <w:p w14:paraId="7E90BC8F" w14:textId="1640BEF3"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48" w:history="1">
        <w:r w:rsidR="00CD5EA0" w:rsidRPr="005E7011">
          <w:rPr>
            <w:rStyle w:val="Hyperlink"/>
            <w:noProof/>
          </w:rPr>
          <w:t>Part 6—Special directions hearings</w:t>
        </w:r>
      </w:hyperlink>
    </w:p>
    <w:p w14:paraId="119EBC2E" w14:textId="4EA0E6D1"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49" w:history="1">
        <w:r w:rsidR="00CD5EA0" w:rsidRPr="005E7011">
          <w:rPr>
            <w:rStyle w:val="Hyperlink"/>
          </w:rPr>
          <w:t>37—Special directions hearings</w:t>
        </w:r>
      </w:hyperlink>
    </w:p>
    <w:p w14:paraId="11A5D880" w14:textId="2AF38C45"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50" w:history="1">
        <w:r w:rsidR="00CD5EA0" w:rsidRPr="005E7011">
          <w:rPr>
            <w:rStyle w:val="Hyperlink"/>
            <w:noProof/>
          </w:rPr>
          <w:t>Part 6A—Vulnerable witnesses</w:t>
        </w:r>
      </w:hyperlink>
    </w:p>
    <w:p w14:paraId="226F6B49" w14:textId="5DB30493"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51" w:history="1">
        <w:r w:rsidR="00CD5EA0" w:rsidRPr="005E7011">
          <w:rPr>
            <w:rStyle w:val="Hyperlink"/>
          </w:rPr>
          <w:t>37A—Pre-trial special hearing</w:t>
        </w:r>
      </w:hyperlink>
    </w:p>
    <w:p w14:paraId="27739F9F" w14:textId="5E4A9EEE"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52" w:history="1">
        <w:r w:rsidR="00CD5EA0" w:rsidRPr="005E7011">
          <w:rPr>
            <w:rStyle w:val="Hyperlink"/>
          </w:rPr>
          <w:t>37B—Admission of audio visual record of evidence</w:t>
        </w:r>
      </w:hyperlink>
    </w:p>
    <w:p w14:paraId="19BF50E9" w14:textId="3571A542"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53" w:history="1">
        <w:r w:rsidR="00CD5EA0" w:rsidRPr="005E7011">
          <w:rPr>
            <w:rStyle w:val="Hyperlink"/>
            <w:noProof/>
          </w:rPr>
          <w:t>Part 7—Pre-trial directions hearings</w:t>
        </w:r>
      </w:hyperlink>
    </w:p>
    <w:p w14:paraId="5B8FAC52" w14:textId="4B6E4F4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54" w:history="1">
        <w:r w:rsidR="00CD5EA0" w:rsidRPr="005E7011">
          <w:rPr>
            <w:rStyle w:val="Hyperlink"/>
          </w:rPr>
          <w:t>37AA—Pre-trial directions hearing</w:t>
        </w:r>
      </w:hyperlink>
    </w:p>
    <w:p w14:paraId="31D2B00A" w14:textId="6430FDE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55" w:history="1">
        <w:r w:rsidR="00CD5EA0" w:rsidRPr="005E7011">
          <w:rPr>
            <w:rStyle w:val="Hyperlink"/>
            <w:noProof/>
          </w:rPr>
          <w:t>Part 8—Outcome of directions hearings</w:t>
        </w:r>
      </w:hyperlink>
    </w:p>
    <w:p w14:paraId="7AB838D6" w14:textId="20FB3103"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56" w:history="1">
        <w:r w:rsidR="00CD5EA0" w:rsidRPr="005E7011">
          <w:rPr>
            <w:rStyle w:val="Hyperlink"/>
          </w:rPr>
          <w:t>Chapter 7—Notice of and dispensing with evidence</w:t>
        </w:r>
      </w:hyperlink>
    </w:p>
    <w:p w14:paraId="08695558" w14:textId="4A780D66"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57" w:history="1">
        <w:r w:rsidR="00CD5EA0" w:rsidRPr="005E7011">
          <w:rPr>
            <w:rStyle w:val="Hyperlink"/>
            <w:noProof/>
          </w:rPr>
          <w:t>Part 1—Notice of evidence</w:t>
        </w:r>
      </w:hyperlink>
    </w:p>
    <w:p w14:paraId="4BFBBE26" w14:textId="6E93AEC2"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58" w:history="1">
        <w:r w:rsidR="00CD5EA0" w:rsidRPr="005E7011">
          <w:rPr>
            <w:rStyle w:val="Hyperlink"/>
          </w:rPr>
          <w:t>38—Evidence of discreditable conduct</w:t>
        </w:r>
      </w:hyperlink>
    </w:p>
    <w:p w14:paraId="13BAA5F4" w14:textId="6026B3C1"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59" w:history="1">
        <w:r w:rsidR="00CD5EA0" w:rsidRPr="005E7011">
          <w:rPr>
            <w:rStyle w:val="Hyperlink"/>
          </w:rPr>
          <w:t>39—Evidence of self-defence or other designated matters</w:t>
        </w:r>
      </w:hyperlink>
    </w:p>
    <w:p w14:paraId="7A7D3590" w14:textId="4C6D040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60" w:history="1">
        <w:r w:rsidR="00CD5EA0" w:rsidRPr="005E7011">
          <w:rPr>
            <w:rStyle w:val="Hyperlink"/>
          </w:rPr>
          <w:t>40—Expert or alibi evidence</w:t>
        </w:r>
      </w:hyperlink>
    </w:p>
    <w:p w14:paraId="307CD0CC" w14:textId="27E1758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61" w:history="1">
        <w:r w:rsidR="00CD5EA0" w:rsidRPr="005E7011">
          <w:rPr>
            <w:rStyle w:val="Hyperlink"/>
            <w:noProof/>
          </w:rPr>
          <w:t>Part 2—Admissions</w:t>
        </w:r>
      </w:hyperlink>
    </w:p>
    <w:p w14:paraId="3F62E2C6" w14:textId="6D8DF0E6"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62" w:history="1">
        <w:r w:rsidR="00CD5EA0" w:rsidRPr="005E7011">
          <w:rPr>
            <w:rStyle w:val="Hyperlink"/>
          </w:rPr>
          <w:t>41—Dispensing with prosecution witnesses</w:t>
        </w:r>
      </w:hyperlink>
    </w:p>
    <w:p w14:paraId="4FA29667" w14:textId="664068CF"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63" w:history="1">
        <w:r w:rsidR="00CD5EA0" w:rsidRPr="005E7011">
          <w:rPr>
            <w:rStyle w:val="Hyperlink"/>
          </w:rPr>
          <w:t>42—**************************************************************</w:t>
        </w:r>
      </w:hyperlink>
    </w:p>
    <w:p w14:paraId="2B70CA68" w14:textId="6E9F4C31"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64" w:history="1">
        <w:r w:rsidR="00CD5EA0" w:rsidRPr="005E7011">
          <w:rPr>
            <w:rStyle w:val="Hyperlink"/>
            <w:noProof/>
          </w:rPr>
          <w:t>Part 3—Subpoenas</w:t>
        </w:r>
      </w:hyperlink>
    </w:p>
    <w:p w14:paraId="2111BB38" w14:textId="20D7DA4D"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65" w:history="1">
        <w:r w:rsidR="00CD5EA0" w:rsidRPr="005E7011">
          <w:rPr>
            <w:rStyle w:val="Hyperlink"/>
          </w:rPr>
          <w:t>43—Subpoenas</w:t>
        </w:r>
      </w:hyperlink>
    </w:p>
    <w:p w14:paraId="4048191A" w14:textId="5B3D7438"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66" w:history="1">
        <w:r w:rsidR="00CD5EA0" w:rsidRPr="005E7011">
          <w:rPr>
            <w:rStyle w:val="Hyperlink"/>
          </w:rPr>
          <w:t>Chapter 8—Trial</w:t>
        </w:r>
      </w:hyperlink>
    </w:p>
    <w:p w14:paraId="28F7D868" w14:textId="28536632"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67" w:history="1">
        <w:r w:rsidR="00CD5EA0" w:rsidRPr="005E7011">
          <w:rPr>
            <w:rStyle w:val="Hyperlink"/>
            <w:noProof/>
          </w:rPr>
          <w:t>Part 1—Evidence</w:t>
        </w:r>
      </w:hyperlink>
    </w:p>
    <w:p w14:paraId="4735DF14" w14:textId="47E8F879"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68" w:history="1">
        <w:r w:rsidR="00CD5EA0" w:rsidRPr="005E7011">
          <w:rPr>
            <w:rStyle w:val="Hyperlink"/>
          </w:rPr>
          <w:t>44—Evidence to be taken interstate or overseas</w:t>
        </w:r>
      </w:hyperlink>
    </w:p>
    <w:p w14:paraId="78BBDF2C" w14:textId="0B04D28B"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69" w:history="1">
        <w:r w:rsidR="00CD5EA0" w:rsidRPr="005E7011">
          <w:rPr>
            <w:rStyle w:val="Hyperlink"/>
          </w:rPr>
          <w:t>45—Evidence by vulnerable witnesses</w:t>
        </w:r>
      </w:hyperlink>
    </w:p>
    <w:p w14:paraId="5A6DA42D" w14:textId="56BB326B"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70" w:history="1">
        <w:r w:rsidR="00CD5EA0" w:rsidRPr="005E7011">
          <w:rPr>
            <w:rStyle w:val="Hyperlink"/>
          </w:rPr>
          <w:t>46—Conduct of trials</w:t>
        </w:r>
      </w:hyperlink>
    </w:p>
    <w:p w14:paraId="3B4042AA" w14:textId="59E56A7A"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71" w:history="1">
        <w:r w:rsidR="00CD5EA0" w:rsidRPr="005E7011">
          <w:rPr>
            <w:rStyle w:val="Hyperlink"/>
          </w:rPr>
          <w:t>47—Conduct of views</w:t>
        </w:r>
      </w:hyperlink>
    </w:p>
    <w:p w14:paraId="2B4A5850" w14:textId="204639C2"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72" w:history="1">
        <w:r w:rsidR="00CD5EA0" w:rsidRPr="005E7011">
          <w:rPr>
            <w:rStyle w:val="Hyperlink"/>
          </w:rPr>
          <w:t>48—Witness identification</w:t>
        </w:r>
      </w:hyperlink>
    </w:p>
    <w:p w14:paraId="5E2AC5C2" w14:textId="62F632C2"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73" w:history="1">
        <w:r w:rsidR="00CD5EA0" w:rsidRPr="005E7011">
          <w:rPr>
            <w:rStyle w:val="Hyperlink"/>
            <w:noProof/>
          </w:rPr>
          <w:t>Part 2—Exhibits</w:t>
        </w:r>
      </w:hyperlink>
    </w:p>
    <w:p w14:paraId="29F1955F" w14:textId="7A9804CC"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74" w:history="1">
        <w:r w:rsidR="00CD5EA0" w:rsidRPr="005E7011">
          <w:rPr>
            <w:rStyle w:val="Hyperlink"/>
            <w:noProof/>
          </w:rPr>
          <w:t>Part 3—Publication of reasons for judgment</w:t>
        </w:r>
      </w:hyperlink>
    </w:p>
    <w:p w14:paraId="33FC1496" w14:textId="67361BD8"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75" w:history="1">
        <w:r w:rsidR="00CD5EA0" w:rsidRPr="005E7011">
          <w:rPr>
            <w:rStyle w:val="Hyperlink"/>
          </w:rPr>
          <w:t>48A—Publication of reasons for judgment</w:t>
        </w:r>
      </w:hyperlink>
    </w:p>
    <w:p w14:paraId="68AE855F" w14:textId="56B81463"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76" w:history="1">
        <w:r w:rsidR="00CD5EA0" w:rsidRPr="005E7011">
          <w:rPr>
            <w:rStyle w:val="Hyperlink"/>
          </w:rPr>
          <w:t>Chapter 9—Juries</w:t>
        </w:r>
      </w:hyperlink>
    </w:p>
    <w:p w14:paraId="0A3F8746" w14:textId="7D5FAAE3"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77" w:history="1">
        <w:r w:rsidR="00CD5EA0" w:rsidRPr="005E7011">
          <w:rPr>
            <w:rStyle w:val="Hyperlink"/>
          </w:rPr>
          <w:t>Chapter 10—Sentencing</w:t>
        </w:r>
      </w:hyperlink>
    </w:p>
    <w:p w14:paraId="42354246" w14:textId="5C09E486"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78" w:history="1">
        <w:r w:rsidR="00CD5EA0" w:rsidRPr="005E7011">
          <w:rPr>
            <w:rStyle w:val="Hyperlink"/>
          </w:rPr>
          <w:t>49—Application to fix non-parole period</w:t>
        </w:r>
      </w:hyperlink>
    </w:p>
    <w:p w14:paraId="103C59F7" w14:textId="06B9D789"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79" w:history="1">
        <w:r w:rsidR="00CD5EA0" w:rsidRPr="005E7011">
          <w:rPr>
            <w:rStyle w:val="Hyperlink"/>
          </w:rPr>
          <w:t>49A—***************************************************************</w:t>
        </w:r>
      </w:hyperlink>
    </w:p>
    <w:p w14:paraId="765406BC" w14:textId="4941FB0B"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0" w:history="1">
        <w:r w:rsidR="00CD5EA0" w:rsidRPr="005E7011">
          <w:rPr>
            <w:rStyle w:val="Hyperlink"/>
          </w:rPr>
          <w:t>49B—Applications for enforcement of a breached bond</w:t>
        </w:r>
      </w:hyperlink>
    </w:p>
    <w:p w14:paraId="1093485F" w14:textId="17DF3881"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1" w:history="1">
        <w:r w:rsidR="00CD5EA0" w:rsidRPr="005E7011">
          <w:rPr>
            <w:rStyle w:val="Hyperlink"/>
          </w:rPr>
          <w:t>50—Mental impairment detention</w:t>
        </w:r>
      </w:hyperlink>
    </w:p>
    <w:p w14:paraId="7D4C118A" w14:textId="08D59A4D"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82" w:history="1">
        <w:r w:rsidR="00CD5EA0" w:rsidRPr="005E7011">
          <w:rPr>
            <w:rStyle w:val="Hyperlink"/>
          </w:rPr>
          <w:t>Chapter 11—Statutory applications</w:t>
        </w:r>
      </w:hyperlink>
    </w:p>
    <w:p w14:paraId="6A49E1B4" w14:textId="16C0A52A"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3" w:history="1">
        <w:r w:rsidR="00CD5EA0" w:rsidRPr="005E7011">
          <w:rPr>
            <w:rStyle w:val="Hyperlink"/>
          </w:rPr>
          <w:t>51—Mental impairment</w:t>
        </w:r>
      </w:hyperlink>
    </w:p>
    <w:p w14:paraId="2F6498EC" w14:textId="76B01BA0"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4" w:history="1">
        <w:r w:rsidR="00CD5EA0" w:rsidRPr="005E7011">
          <w:rPr>
            <w:rStyle w:val="Hyperlink"/>
          </w:rPr>
          <w:t>52—Note- there is no rule 52</w:t>
        </w:r>
      </w:hyperlink>
    </w:p>
    <w:p w14:paraId="414B6A1B" w14:textId="4F5F5BAC"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5" w:history="1">
        <w:r w:rsidR="00CD5EA0" w:rsidRPr="005E7011">
          <w:rPr>
            <w:rStyle w:val="Hyperlink"/>
          </w:rPr>
          <w:t>53—Note- there is no rule 53</w:t>
        </w:r>
      </w:hyperlink>
    </w:p>
    <w:p w14:paraId="05325585" w14:textId="5427CFB5"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6" w:history="1">
        <w:r w:rsidR="00CD5EA0" w:rsidRPr="005E7011">
          <w:rPr>
            <w:rStyle w:val="Hyperlink"/>
          </w:rPr>
          <w:t>54—Note- there is no rule 54</w:t>
        </w:r>
      </w:hyperlink>
    </w:p>
    <w:p w14:paraId="77077C45" w14:textId="509C6A6A"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7" w:history="1">
        <w:r w:rsidR="00CD5EA0" w:rsidRPr="005E7011">
          <w:rPr>
            <w:rStyle w:val="Hyperlink"/>
          </w:rPr>
          <w:t>55—Confiscation order</w:t>
        </w:r>
      </w:hyperlink>
    </w:p>
    <w:p w14:paraId="753762AB" w14:textId="152A3AFF"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88" w:history="1">
        <w:r w:rsidR="00CD5EA0" w:rsidRPr="005E7011">
          <w:rPr>
            <w:rStyle w:val="Hyperlink"/>
          </w:rPr>
          <w:t>Chapter 12—Note- there is no Chapter 12</w:t>
        </w:r>
      </w:hyperlink>
    </w:p>
    <w:p w14:paraId="68D120D8" w14:textId="1D680926"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89" w:history="1">
        <w:r w:rsidR="00CD5EA0" w:rsidRPr="005E7011">
          <w:rPr>
            <w:rStyle w:val="Hyperlink"/>
          </w:rPr>
          <w:t>56—Note- there is no rule 56</w:t>
        </w:r>
      </w:hyperlink>
    </w:p>
    <w:p w14:paraId="39E5FFDF" w14:textId="48E474A5"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90" w:history="1">
        <w:r w:rsidR="00CD5EA0" w:rsidRPr="005E7011">
          <w:rPr>
            <w:rStyle w:val="Hyperlink"/>
          </w:rPr>
          <w:t>Chapter 13—Note- there is no Chapter13</w:t>
        </w:r>
      </w:hyperlink>
    </w:p>
    <w:p w14:paraId="4795DC16" w14:textId="7EBA0D66"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91" w:history="1">
        <w:r w:rsidR="00CD5EA0" w:rsidRPr="005E7011">
          <w:rPr>
            <w:rStyle w:val="Hyperlink"/>
          </w:rPr>
          <w:t>Note- there are no rules 57-76</w:t>
        </w:r>
      </w:hyperlink>
    </w:p>
    <w:p w14:paraId="5B291C2C" w14:textId="368CE7F7"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92" w:history="1">
        <w:r w:rsidR="00CD5EA0" w:rsidRPr="005E7011">
          <w:rPr>
            <w:rStyle w:val="Hyperlink"/>
          </w:rPr>
          <w:t>Chapter 14—Contempt of Court</w:t>
        </w:r>
      </w:hyperlink>
    </w:p>
    <w:p w14:paraId="532A9834" w14:textId="15A50CF3"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93" w:history="1">
        <w:r w:rsidR="00CD5EA0" w:rsidRPr="005E7011">
          <w:rPr>
            <w:rStyle w:val="Hyperlink"/>
            <w:noProof/>
          </w:rPr>
          <w:t>Part 1—Contempt committed in face of Court</w:t>
        </w:r>
      </w:hyperlink>
    </w:p>
    <w:p w14:paraId="241DE307" w14:textId="138809DD"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94" w:history="1">
        <w:r w:rsidR="00CD5EA0" w:rsidRPr="005E7011">
          <w:rPr>
            <w:rStyle w:val="Hyperlink"/>
            <w:noProof/>
          </w:rPr>
          <w:t>Part 2—Court initiated proceedings for contempt—other cases</w:t>
        </w:r>
      </w:hyperlink>
    </w:p>
    <w:p w14:paraId="299B38BE" w14:textId="469BE23B" w:rsidR="00CD5EA0" w:rsidRDefault="00A33374">
      <w:pPr>
        <w:pStyle w:val="TOC3"/>
        <w:rPr>
          <w:rFonts w:asciiTheme="minorHAnsi" w:eastAsiaTheme="minorEastAsia" w:hAnsiTheme="minorHAnsi" w:cstheme="minorBidi"/>
          <w:bCs w:val="0"/>
          <w:color w:val="auto"/>
          <w:sz w:val="22"/>
          <w:szCs w:val="22"/>
          <w:lang w:val="en-AU" w:eastAsia="en-AU"/>
        </w:rPr>
      </w:pPr>
      <w:hyperlink w:anchor="_Toc60132495" w:history="1">
        <w:r w:rsidR="00CD5EA0" w:rsidRPr="005E7011">
          <w:rPr>
            <w:rStyle w:val="Hyperlink"/>
          </w:rPr>
          <w:t>77—Summons to appear</w:t>
        </w:r>
      </w:hyperlink>
    </w:p>
    <w:p w14:paraId="42DCA984" w14:textId="4F96C16D"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96" w:history="1">
        <w:r w:rsidR="00CD5EA0" w:rsidRPr="005E7011">
          <w:rPr>
            <w:rStyle w:val="Hyperlink"/>
            <w:noProof/>
          </w:rPr>
          <w:t>Part 3—Contempt proceedings by party to proceeding</w:t>
        </w:r>
      </w:hyperlink>
    </w:p>
    <w:p w14:paraId="265FF449" w14:textId="153297D7" w:rsidR="00CD5EA0" w:rsidRDefault="00A33374">
      <w:pPr>
        <w:pStyle w:val="TOC2"/>
        <w:rPr>
          <w:rFonts w:asciiTheme="minorHAnsi" w:eastAsiaTheme="minorEastAsia" w:hAnsiTheme="minorHAnsi" w:cstheme="minorBidi"/>
          <w:bCs w:val="0"/>
          <w:noProof/>
          <w:color w:val="auto"/>
          <w:sz w:val="22"/>
          <w:szCs w:val="22"/>
          <w:lang w:val="en-AU" w:eastAsia="en-AU"/>
        </w:rPr>
      </w:pPr>
      <w:hyperlink w:anchor="_Toc60132497" w:history="1">
        <w:r w:rsidR="00CD5EA0" w:rsidRPr="005E7011">
          <w:rPr>
            <w:rStyle w:val="Hyperlink"/>
            <w:noProof/>
          </w:rPr>
          <w:t>Part 4—Hearing of charge of contempt</w:t>
        </w:r>
      </w:hyperlink>
    </w:p>
    <w:p w14:paraId="4A2B6B5C" w14:textId="503329A4" w:rsidR="00CD5EA0" w:rsidRDefault="00A33374">
      <w:pPr>
        <w:pStyle w:val="TOC1"/>
        <w:rPr>
          <w:rFonts w:asciiTheme="minorHAnsi" w:eastAsiaTheme="minorEastAsia" w:hAnsiTheme="minorHAnsi" w:cstheme="minorBidi"/>
          <w:b w:val="0"/>
          <w:color w:val="auto"/>
          <w:kern w:val="0"/>
          <w:sz w:val="22"/>
          <w:szCs w:val="22"/>
          <w:lang w:val="en-AU" w:eastAsia="en-AU"/>
        </w:rPr>
      </w:pPr>
      <w:hyperlink w:anchor="_Toc60132498" w:history="1">
        <w:r w:rsidR="00CD5EA0" w:rsidRPr="005E7011">
          <w:rPr>
            <w:rStyle w:val="Hyperlink"/>
          </w:rPr>
          <w:t>History of Amendment</w:t>
        </w:r>
      </w:hyperlink>
    </w:p>
    <w:p w14:paraId="07A0A956" w14:textId="7EC29643" w:rsidR="003B6B73" w:rsidRPr="003B6B73" w:rsidRDefault="004A770D" w:rsidP="00B42E94">
      <w:pPr>
        <w:pStyle w:val="Chapter"/>
        <w:rPr>
          <w:rFonts w:eastAsiaTheme="majorEastAsia"/>
          <w:sz w:val="30"/>
          <w:szCs w:val="30"/>
        </w:rPr>
        <w:sectPr w:rsidR="003B6B73" w:rsidRPr="003B6B73" w:rsidSect="00962532">
          <w:headerReference w:type="default" r:id="rId9"/>
          <w:footerReference w:type="default" r:id="rId10"/>
          <w:headerReference w:type="first" r:id="rId11"/>
          <w:footerReference w:type="first" r:id="rId12"/>
          <w:pgSz w:w="11906" w:h="16838"/>
          <w:pgMar w:top="1440" w:right="1440" w:bottom="1440" w:left="1440" w:header="708" w:footer="708" w:gutter="0"/>
          <w:pgNumType w:fmt="lowerRoman" w:start="1"/>
          <w:cols w:space="708"/>
          <w:docGrid w:linePitch="360"/>
        </w:sectPr>
      </w:pPr>
      <w:r>
        <w:rPr>
          <w:rFonts w:eastAsiaTheme="majorEastAsia"/>
          <w:bCs w:val="0"/>
          <w:kern w:val="32"/>
          <w:sz w:val="30"/>
          <w:szCs w:val="32"/>
        </w:rPr>
        <w:fldChar w:fldCharType="end"/>
      </w:r>
    </w:p>
    <w:p w14:paraId="398CFAE3" w14:textId="77777777" w:rsidR="00F936EB" w:rsidRDefault="00F936EB" w:rsidP="00F936EB">
      <w:pPr>
        <w:pStyle w:val="Chapter"/>
      </w:pPr>
      <w:bookmarkStart w:id="3" w:name="_Toc394312616"/>
      <w:bookmarkStart w:id="4" w:name="_Toc60132375"/>
      <w:r>
        <w:lastRenderedPageBreak/>
        <w:t>Chapter 1—Preliminary</w:t>
      </w:r>
      <w:bookmarkEnd w:id="3"/>
      <w:bookmarkEnd w:id="4"/>
    </w:p>
    <w:p w14:paraId="708198F4" w14:textId="77777777" w:rsidR="00F936EB" w:rsidRDefault="00F936EB" w:rsidP="00F936EB">
      <w:pPr>
        <w:pStyle w:val="Part"/>
      </w:pPr>
      <w:bookmarkStart w:id="5" w:name="_Toc391026161"/>
      <w:bookmarkStart w:id="6" w:name="_Toc394312617"/>
      <w:bookmarkStart w:id="7" w:name="_Toc60132376"/>
      <w:r>
        <w:t>Part 1—Formal p</w:t>
      </w:r>
      <w:r w:rsidRPr="00DE7235">
        <w:t>rovisions</w:t>
      </w:r>
      <w:bookmarkEnd w:id="5"/>
      <w:bookmarkEnd w:id="6"/>
      <w:bookmarkEnd w:id="7"/>
    </w:p>
    <w:p w14:paraId="36D5AE52" w14:textId="77777777" w:rsidR="00F936EB" w:rsidRDefault="00F936EB" w:rsidP="00F545F4">
      <w:pPr>
        <w:pStyle w:val="clausehead"/>
        <w:spacing w:after="120"/>
      </w:pPr>
      <w:bookmarkStart w:id="8" w:name="_Toc394312618"/>
      <w:bookmarkStart w:id="9" w:name="_Toc60132377"/>
      <w:r>
        <w:t>1—Citation</w:t>
      </w:r>
      <w:bookmarkEnd w:id="8"/>
      <w:bookmarkEnd w:id="9"/>
    </w:p>
    <w:p w14:paraId="3E8D45FF" w14:textId="77777777" w:rsidR="00F936EB" w:rsidRPr="0036702A" w:rsidRDefault="00F936EB" w:rsidP="00F936EB">
      <w:pPr>
        <w:pStyle w:val="Hangindent"/>
        <w:rPr>
          <w:sz w:val="24"/>
          <w:szCs w:val="24"/>
        </w:rPr>
      </w:pPr>
      <w:r w:rsidRPr="0036702A">
        <w:rPr>
          <w:sz w:val="24"/>
          <w:szCs w:val="24"/>
        </w:rPr>
        <w:t>(1)</w:t>
      </w:r>
      <w:r w:rsidRPr="0036702A">
        <w:rPr>
          <w:sz w:val="24"/>
          <w:szCs w:val="24"/>
        </w:rPr>
        <w:tab/>
        <w:t xml:space="preserve">These Supplementary Rules may be cited as the </w:t>
      </w:r>
      <w:r>
        <w:rPr>
          <w:i/>
          <w:sz w:val="24"/>
          <w:szCs w:val="24"/>
        </w:rPr>
        <w:t xml:space="preserve">District </w:t>
      </w:r>
      <w:r w:rsidRPr="0036702A">
        <w:rPr>
          <w:i/>
          <w:sz w:val="24"/>
          <w:szCs w:val="24"/>
        </w:rPr>
        <w:t>Court Criminal Supplementary Rules 2014</w:t>
      </w:r>
      <w:r w:rsidRPr="0036702A">
        <w:rPr>
          <w:sz w:val="24"/>
          <w:szCs w:val="24"/>
        </w:rPr>
        <w:t>.</w:t>
      </w:r>
    </w:p>
    <w:p w14:paraId="4CC3290B" w14:textId="77777777" w:rsidR="00F936EB" w:rsidRPr="0036702A" w:rsidRDefault="00F936EB" w:rsidP="00F936EB">
      <w:pPr>
        <w:pStyle w:val="Hangindent"/>
        <w:rPr>
          <w:sz w:val="24"/>
          <w:szCs w:val="24"/>
        </w:rPr>
      </w:pPr>
      <w:r w:rsidRPr="0036702A">
        <w:rPr>
          <w:sz w:val="24"/>
          <w:szCs w:val="24"/>
        </w:rPr>
        <w:t>(2)</w:t>
      </w:r>
      <w:r w:rsidRPr="0036702A">
        <w:rPr>
          <w:sz w:val="24"/>
          <w:szCs w:val="24"/>
        </w:rPr>
        <w:tab/>
        <w:t xml:space="preserve">These Supplementary Rules supplement the </w:t>
      </w:r>
      <w:r>
        <w:rPr>
          <w:i/>
          <w:sz w:val="24"/>
          <w:szCs w:val="24"/>
        </w:rPr>
        <w:t xml:space="preserve">District </w:t>
      </w:r>
      <w:r w:rsidRPr="0036702A">
        <w:rPr>
          <w:i/>
          <w:sz w:val="24"/>
          <w:szCs w:val="24"/>
        </w:rPr>
        <w:t>Court Criminal Rules 2014.</w:t>
      </w:r>
      <w:r w:rsidRPr="0036702A">
        <w:rPr>
          <w:sz w:val="24"/>
          <w:szCs w:val="24"/>
        </w:rPr>
        <w:t xml:space="preserve"> </w:t>
      </w:r>
    </w:p>
    <w:p w14:paraId="760A69ED" w14:textId="77777777" w:rsidR="00F936EB" w:rsidRPr="0036702A" w:rsidRDefault="00F936EB" w:rsidP="00F936EB">
      <w:pPr>
        <w:pStyle w:val="Hangindent"/>
        <w:rPr>
          <w:sz w:val="24"/>
          <w:szCs w:val="24"/>
        </w:rPr>
      </w:pPr>
      <w:r w:rsidRPr="0036702A">
        <w:rPr>
          <w:sz w:val="24"/>
          <w:szCs w:val="24"/>
        </w:rPr>
        <w:t>(3)</w:t>
      </w:r>
      <w:r w:rsidRPr="0036702A">
        <w:rPr>
          <w:sz w:val="24"/>
          <w:szCs w:val="24"/>
        </w:rPr>
        <w:tab/>
        <w:t xml:space="preserve">These Supplementary Rules follow the Chapter and Part headings of the </w:t>
      </w:r>
      <w:r>
        <w:rPr>
          <w:i/>
          <w:sz w:val="24"/>
          <w:szCs w:val="24"/>
        </w:rPr>
        <w:t xml:space="preserve">District </w:t>
      </w:r>
      <w:r w:rsidRPr="0036702A">
        <w:rPr>
          <w:i/>
          <w:sz w:val="24"/>
          <w:szCs w:val="24"/>
        </w:rPr>
        <w:t>Court Criminal Rules 2014</w:t>
      </w:r>
      <w:r w:rsidRPr="0036702A">
        <w:rPr>
          <w:sz w:val="24"/>
          <w:szCs w:val="24"/>
        </w:rPr>
        <w:t>.</w:t>
      </w:r>
    </w:p>
    <w:p w14:paraId="088EAEA0" w14:textId="77777777" w:rsidR="00F936EB" w:rsidRDefault="00F936EB" w:rsidP="00F936EB">
      <w:pPr>
        <w:pStyle w:val="clausehead"/>
        <w:rPr>
          <w:lang w:val="en-US"/>
        </w:rPr>
      </w:pPr>
      <w:bookmarkStart w:id="10" w:name="_Toc394312619"/>
      <w:bookmarkStart w:id="11" w:name="_Toc60132378"/>
      <w:r>
        <w:rPr>
          <w:lang w:val="en-US"/>
        </w:rPr>
        <w:t>2—Commencement</w:t>
      </w:r>
      <w:bookmarkEnd w:id="10"/>
      <w:bookmarkEnd w:id="11"/>
    </w:p>
    <w:p w14:paraId="64CDD79C" w14:textId="77777777" w:rsidR="00F936EB" w:rsidRPr="00750571" w:rsidRDefault="00F936EB" w:rsidP="00F936EB">
      <w:pPr>
        <w:pStyle w:val="IndentedPara"/>
        <w:jc w:val="both"/>
        <w:rPr>
          <w:sz w:val="24"/>
          <w:szCs w:val="24"/>
        </w:rPr>
      </w:pPr>
      <w:r w:rsidRPr="00750571">
        <w:rPr>
          <w:sz w:val="24"/>
          <w:szCs w:val="24"/>
        </w:rPr>
        <w:t xml:space="preserve">These </w:t>
      </w:r>
      <w:r w:rsidRPr="00750571">
        <w:rPr>
          <w:iCs/>
          <w:sz w:val="24"/>
          <w:szCs w:val="24"/>
        </w:rPr>
        <w:t>Supplementary Rules</w:t>
      </w:r>
      <w:r w:rsidRPr="00750571">
        <w:rPr>
          <w:sz w:val="24"/>
          <w:szCs w:val="24"/>
        </w:rPr>
        <w:t xml:space="preserve"> commence on 1 October 2014.</w:t>
      </w:r>
    </w:p>
    <w:p w14:paraId="47D5714F" w14:textId="77777777" w:rsidR="00F936EB" w:rsidRDefault="00F936EB" w:rsidP="00F936EB">
      <w:pPr>
        <w:pStyle w:val="Part"/>
      </w:pPr>
      <w:bookmarkStart w:id="12" w:name="_Toc391026164"/>
      <w:bookmarkStart w:id="13" w:name="_Toc394312620"/>
      <w:bookmarkStart w:id="14" w:name="_Toc60132379"/>
      <w:r>
        <w:t>Part 2</w:t>
      </w:r>
      <w:r w:rsidRPr="00100315">
        <w:t>—</w:t>
      </w:r>
      <w:r>
        <w:t>Objects</w:t>
      </w:r>
      <w:bookmarkEnd w:id="12"/>
      <w:bookmarkEnd w:id="13"/>
      <w:bookmarkEnd w:id="14"/>
    </w:p>
    <w:p w14:paraId="6268C448" w14:textId="77777777" w:rsidR="00F936EB" w:rsidRPr="00750571" w:rsidRDefault="00F936EB" w:rsidP="00F936EB">
      <w:pPr>
        <w:pStyle w:val="IndentedPara"/>
        <w:rPr>
          <w:i/>
          <w:sz w:val="24"/>
          <w:szCs w:val="24"/>
        </w:rPr>
      </w:pPr>
      <w:r w:rsidRPr="00750571">
        <w:rPr>
          <w:sz w:val="24"/>
          <w:szCs w:val="24"/>
        </w:rPr>
        <w:t>[</w:t>
      </w:r>
      <w:r>
        <w:rPr>
          <w:i/>
          <w:sz w:val="24"/>
          <w:szCs w:val="24"/>
        </w:rPr>
        <w:t>n</w:t>
      </w:r>
      <w:r w:rsidRPr="00750571">
        <w:rPr>
          <w:i/>
          <w:sz w:val="24"/>
          <w:szCs w:val="24"/>
        </w:rPr>
        <w:t>o supplementary rules</w:t>
      </w:r>
      <w:r w:rsidRPr="00750571">
        <w:rPr>
          <w:sz w:val="24"/>
          <w:szCs w:val="24"/>
        </w:rPr>
        <w:t>]</w:t>
      </w:r>
    </w:p>
    <w:p w14:paraId="683EDD2A" w14:textId="77777777" w:rsidR="00F936EB" w:rsidRDefault="00F936EB" w:rsidP="00F936EB">
      <w:pPr>
        <w:pStyle w:val="Part"/>
      </w:pPr>
      <w:bookmarkStart w:id="15" w:name="_Toc391026166"/>
      <w:bookmarkStart w:id="16" w:name="_Toc394312621"/>
      <w:bookmarkStart w:id="17" w:name="_Toc60132380"/>
      <w:r w:rsidRPr="007743FE">
        <w:t>Part 3—Interpretation</w:t>
      </w:r>
      <w:bookmarkEnd w:id="15"/>
      <w:bookmarkEnd w:id="16"/>
      <w:bookmarkEnd w:id="17"/>
    </w:p>
    <w:p w14:paraId="4EB77A62" w14:textId="77777777" w:rsidR="00F936EB" w:rsidRDefault="00F936EB" w:rsidP="00F545F4">
      <w:pPr>
        <w:pStyle w:val="clausehead"/>
        <w:spacing w:after="120"/>
        <w:rPr>
          <w:lang w:val="en-US"/>
        </w:rPr>
      </w:pPr>
      <w:bookmarkStart w:id="18" w:name="_Toc394312622"/>
      <w:bookmarkStart w:id="19" w:name="_Toc60132381"/>
      <w:r>
        <w:rPr>
          <w:lang w:val="en-US"/>
        </w:rPr>
        <w:t>3—Interpretation</w:t>
      </w:r>
      <w:bookmarkEnd w:id="18"/>
      <w:bookmarkEnd w:id="19"/>
    </w:p>
    <w:p w14:paraId="6FDEF18B" w14:textId="77777777" w:rsidR="00F936EB" w:rsidRPr="0036702A" w:rsidRDefault="00F936EB" w:rsidP="00F936EB">
      <w:pPr>
        <w:pStyle w:val="Hangindent"/>
        <w:rPr>
          <w:sz w:val="24"/>
          <w:szCs w:val="24"/>
        </w:rPr>
      </w:pPr>
      <w:r w:rsidRPr="0036702A">
        <w:rPr>
          <w:sz w:val="24"/>
          <w:szCs w:val="24"/>
        </w:rPr>
        <w:t>(1)</w:t>
      </w:r>
      <w:r w:rsidRPr="0036702A">
        <w:rPr>
          <w:sz w:val="24"/>
          <w:szCs w:val="24"/>
        </w:rPr>
        <w:tab/>
        <w:t xml:space="preserve">Unless the contrary intention appears, expressions in these </w:t>
      </w:r>
      <w:r w:rsidRPr="0036702A">
        <w:rPr>
          <w:iCs/>
          <w:sz w:val="24"/>
          <w:szCs w:val="24"/>
        </w:rPr>
        <w:t>Supplementary Rules</w:t>
      </w:r>
      <w:r w:rsidRPr="0036702A">
        <w:rPr>
          <w:sz w:val="24"/>
          <w:szCs w:val="24"/>
        </w:rPr>
        <w:t xml:space="preserve"> have the same meaning as in the Rules.</w:t>
      </w:r>
    </w:p>
    <w:p w14:paraId="56E54992" w14:textId="77777777" w:rsidR="00F936EB" w:rsidRPr="0036702A" w:rsidRDefault="00F936EB" w:rsidP="00F936EB">
      <w:pPr>
        <w:pStyle w:val="Hangindent"/>
        <w:rPr>
          <w:sz w:val="24"/>
          <w:szCs w:val="24"/>
        </w:rPr>
      </w:pPr>
      <w:r w:rsidRPr="0036702A">
        <w:rPr>
          <w:sz w:val="24"/>
          <w:szCs w:val="24"/>
        </w:rPr>
        <w:t>(2)</w:t>
      </w:r>
      <w:r w:rsidRPr="0036702A">
        <w:rPr>
          <w:sz w:val="24"/>
          <w:szCs w:val="24"/>
        </w:rPr>
        <w:tab/>
        <w:t>In these Supplementary Rules, unless the contrary intention appears—</w:t>
      </w:r>
    </w:p>
    <w:p w14:paraId="35444B6B" w14:textId="77777777" w:rsidR="00F936EB" w:rsidRDefault="00F936EB" w:rsidP="00F936EB">
      <w:pPr>
        <w:pStyle w:val="Hangindent"/>
        <w:ind w:firstLine="0"/>
        <w:jc w:val="both"/>
        <w:rPr>
          <w:sz w:val="24"/>
          <w:szCs w:val="24"/>
          <w:lang w:val="en-GB"/>
        </w:rPr>
      </w:pPr>
      <w:r w:rsidRPr="00252877">
        <w:rPr>
          <w:b/>
          <w:i/>
          <w:sz w:val="24"/>
          <w:szCs w:val="24"/>
          <w:lang w:val="en-GB"/>
        </w:rPr>
        <w:t xml:space="preserve">FDN </w:t>
      </w:r>
      <w:r w:rsidRPr="00252877">
        <w:rPr>
          <w:sz w:val="24"/>
          <w:szCs w:val="24"/>
          <w:lang w:val="en-GB"/>
        </w:rPr>
        <w:t>means the file document number when the Registrar elects to allocate a file document number to a document filed with the Court;</w:t>
      </w:r>
    </w:p>
    <w:p w14:paraId="6FCE84B2" w14:textId="77777777" w:rsidR="001B254F" w:rsidRPr="00252877" w:rsidRDefault="001B254F" w:rsidP="00F936EB">
      <w:pPr>
        <w:pStyle w:val="Hangindent"/>
        <w:ind w:firstLine="0"/>
        <w:jc w:val="both"/>
        <w:rPr>
          <w:b/>
          <w:sz w:val="24"/>
          <w:szCs w:val="24"/>
          <w:lang w:val="en-GB"/>
        </w:rPr>
      </w:pPr>
      <w:r w:rsidRPr="00351D75">
        <w:rPr>
          <w:b/>
          <w:i/>
          <w:color w:val="000000"/>
          <w:spacing w:val="-3"/>
          <w:szCs w:val="24"/>
          <w:lang w:val="en-US"/>
        </w:rPr>
        <w:t xml:space="preserve">First Directions Hearing </w:t>
      </w:r>
      <w:r w:rsidRPr="00351D75">
        <w:rPr>
          <w:b/>
          <w:i/>
          <w:szCs w:val="24"/>
          <w:lang w:val="en-US"/>
        </w:rPr>
        <w:t xml:space="preserve">– Call Over – </w:t>
      </w:r>
      <w:r w:rsidRPr="00351D75">
        <w:rPr>
          <w:szCs w:val="24"/>
          <w:lang w:val="en-US"/>
        </w:rPr>
        <w:t>see supplementary rule 34A;</w:t>
      </w:r>
    </w:p>
    <w:p w14:paraId="60C58238" w14:textId="77777777" w:rsidR="00F936EB" w:rsidRDefault="00F936EB" w:rsidP="00F936EB">
      <w:pPr>
        <w:pStyle w:val="Hangindent"/>
        <w:spacing w:before="120"/>
        <w:ind w:firstLine="0"/>
        <w:jc w:val="both"/>
        <w:rPr>
          <w:sz w:val="24"/>
          <w:szCs w:val="24"/>
        </w:rPr>
      </w:pPr>
      <w:r w:rsidRPr="00252877">
        <w:rPr>
          <w:sz w:val="24"/>
          <w:szCs w:val="24"/>
        </w:rPr>
        <w:t>the</w:t>
      </w:r>
      <w:r w:rsidRPr="00252877">
        <w:rPr>
          <w:b/>
          <w:sz w:val="24"/>
          <w:szCs w:val="24"/>
        </w:rPr>
        <w:t xml:space="preserve"> </w:t>
      </w:r>
      <w:r w:rsidRPr="00252877">
        <w:rPr>
          <w:b/>
          <w:i/>
          <w:sz w:val="24"/>
          <w:szCs w:val="24"/>
        </w:rPr>
        <w:t>Rules</w:t>
      </w:r>
      <w:r w:rsidRPr="00252877">
        <w:rPr>
          <w:b/>
          <w:sz w:val="24"/>
          <w:szCs w:val="24"/>
        </w:rPr>
        <w:t xml:space="preserve"> </w:t>
      </w:r>
      <w:r w:rsidRPr="00252877">
        <w:rPr>
          <w:sz w:val="24"/>
          <w:szCs w:val="24"/>
        </w:rPr>
        <w:t xml:space="preserve">means the </w:t>
      </w:r>
      <w:r>
        <w:rPr>
          <w:i/>
          <w:sz w:val="24"/>
          <w:szCs w:val="24"/>
        </w:rPr>
        <w:t xml:space="preserve">District </w:t>
      </w:r>
      <w:r w:rsidRPr="00252877">
        <w:rPr>
          <w:i/>
          <w:sz w:val="24"/>
          <w:szCs w:val="24"/>
        </w:rPr>
        <w:t>Court Criminal Rules 2014</w:t>
      </w:r>
      <w:r w:rsidR="001B254F">
        <w:rPr>
          <w:sz w:val="24"/>
          <w:szCs w:val="24"/>
        </w:rPr>
        <w:t>;</w:t>
      </w:r>
    </w:p>
    <w:p w14:paraId="65EC53A3" w14:textId="77777777" w:rsidR="001B254F" w:rsidRPr="00252877" w:rsidRDefault="001B254F" w:rsidP="001B254F">
      <w:pPr>
        <w:pStyle w:val="Hangindent"/>
        <w:ind w:firstLine="0"/>
        <w:jc w:val="both"/>
        <w:rPr>
          <w:i/>
          <w:sz w:val="24"/>
          <w:szCs w:val="24"/>
        </w:rPr>
      </w:pPr>
      <w:r w:rsidRPr="00351D75">
        <w:rPr>
          <w:b/>
          <w:i/>
          <w:color w:val="000000"/>
          <w:spacing w:val="-3"/>
          <w:szCs w:val="24"/>
          <w:lang w:val="en-US"/>
        </w:rPr>
        <w:t xml:space="preserve">Second Directions Hearing </w:t>
      </w:r>
      <w:r w:rsidRPr="00351D75">
        <w:rPr>
          <w:b/>
          <w:i/>
          <w:szCs w:val="24"/>
          <w:lang w:val="en-US"/>
        </w:rPr>
        <w:t xml:space="preserve">– Call Over – </w:t>
      </w:r>
      <w:r w:rsidRPr="00351D75">
        <w:rPr>
          <w:szCs w:val="24"/>
          <w:lang w:val="en-US"/>
        </w:rPr>
        <w:t>see supplementary rule 34B;</w:t>
      </w:r>
    </w:p>
    <w:p w14:paraId="365180C9" w14:textId="77777777" w:rsidR="00F936EB" w:rsidRPr="00252877" w:rsidRDefault="00F936EB" w:rsidP="00F936EB">
      <w:pPr>
        <w:pStyle w:val="Hangindent"/>
        <w:spacing w:before="120"/>
        <w:ind w:firstLine="0"/>
        <w:jc w:val="both"/>
        <w:rPr>
          <w:i/>
          <w:sz w:val="24"/>
          <w:szCs w:val="24"/>
        </w:rPr>
      </w:pPr>
      <w:r w:rsidRPr="00252877">
        <w:rPr>
          <w:sz w:val="24"/>
          <w:szCs w:val="24"/>
        </w:rPr>
        <w:t>the</w:t>
      </w:r>
      <w:r w:rsidRPr="00252877">
        <w:rPr>
          <w:b/>
          <w:sz w:val="24"/>
          <w:szCs w:val="24"/>
        </w:rPr>
        <w:t xml:space="preserve"> </w:t>
      </w:r>
      <w:r w:rsidRPr="00252877">
        <w:rPr>
          <w:b/>
          <w:i/>
          <w:sz w:val="24"/>
          <w:szCs w:val="24"/>
        </w:rPr>
        <w:t>Supplementary</w:t>
      </w:r>
      <w:r w:rsidRPr="00252877">
        <w:rPr>
          <w:b/>
          <w:sz w:val="24"/>
          <w:szCs w:val="24"/>
        </w:rPr>
        <w:t xml:space="preserve"> </w:t>
      </w:r>
      <w:r w:rsidRPr="00252877">
        <w:rPr>
          <w:b/>
          <w:i/>
          <w:sz w:val="24"/>
          <w:szCs w:val="24"/>
        </w:rPr>
        <w:t>Rules</w:t>
      </w:r>
      <w:r w:rsidRPr="00252877">
        <w:rPr>
          <w:b/>
          <w:sz w:val="24"/>
          <w:szCs w:val="24"/>
        </w:rPr>
        <w:t xml:space="preserve"> </w:t>
      </w:r>
      <w:r w:rsidRPr="00252877">
        <w:rPr>
          <w:sz w:val="24"/>
          <w:szCs w:val="24"/>
        </w:rPr>
        <w:t xml:space="preserve">means the </w:t>
      </w:r>
      <w:r>
        <w:rPr>
          <w:i/>
          <w:sz w:val="24"/>
          <w:szCs w:val="24"/>
        </w:rPr>
        <w:t xml:space="preserve">District </w:t>
      </w:r>
      <w:r w:rsidRPr="00252877">
        <w:rPr>
          <w:i/>
          <w:sz w:val="24"/>
          <w:szCs w:val="24"/>
        </w:rPr>
        <w:t>Court Criminal Supplementary Rules 2014.</w:t>
      </w:r>
    </w:p>
    <w:p w14:paraId="6FC6806C" w14:textId="77777777" w:rsidR="00F936EB" w:rsidRDefault="00F936EB" w:rsidP="00F936EB">
      <w:pPr>
        <w:pStyle w:val="Hangindent"/>
        <w:spacing w:before="120"/>
        <w:jc w:val="both"/>
        <w:rPr>
          <w:sz w:val="24"/>
          <w:szCs w:val="24"/>
        </w:rPr>
      </w:pPr>
      <w:r w:rsidRPr="00252877">
        <w:rPr>
          <w:sz w:val="24"/>
          <w:szCs w:val="24"/>
        </w:rPr>
        <w:t>(3)</w:t>
      </w:r>
      <w:r w:rsidRPr="00252877">
        <w:rPr>
          <w:sz w:val="24"/>
          <w:szCs w:val="24"/>
        </w:rPr>
        <w:tab/>
        <w:t>Unless the contrary intention appears, rule 5 of the Rules applies to the calculation of time under these Supplementary Rules.</w:t>
      </w:r>
    </w:p>
    <w:p w14:paraId="2D39B489" w14:textId="77777777" w:rsidR="00E945B2" w:rsidRDefault="00E945B2" w:rsidP="00F545F4">
      <w:pPr>
        <w:pStyle w:val="clausehead"/>
        <w:spacing w:after="120"/>
      </w:pPr>
      <w:bookmarkStart w:id="20" w:name="_Toc60132382"/>
      <w:r>
        <w:t>3A—Numbering of Rules</w:t>
      </w:r>
      <w:bookmarkEnd w:id="20"/>
    </w:p>
    <w:p w14:paraId="19CFA4A5" w14:textId="77777777" w:rsidR="00E945B2" w:rsidRPr="00A73FD8" w:rsidRDefault="00E945B2" w:rsidP="00CA0FEC">
      <w:pPr>
        <w:spacing w:line="240" w:lineRule="auto"/>
        <w:ind w:left="851"/>
        <w:rPr>
          <w:sz w:val="24"/>
          <w:szCs w:val="24"/>
        </w:rPr>
      </w:pPr>
      <w:r w:rsidRPr="00A73FD8">
        <w:rPr>
          <w:sz w:val="24"/>
          <w:szCs w:val="24"/>
        </w:rPr>
        <w:t xml:space="preserve">It is intended that the numbering of these rules is to match (so far as possible) the numbering of the </w:t>
      </w:r>
      <w:r w:rsidRPr="00A73FD8">
        <w:rPr>
          <w:i/>
          <w:sz w:val="24"/>
          <w:szCs w:val="24"/>
        </w:rPr>
        <w:t>Supreme Court Criminal Supplementary Rules 2014</w:t>
      </w:r>
      <w:r w:rsidRPr="00A73FD8">
        <w:rPr>
          <w:sz w:val="24"/>
          <w:szCs w:val="24"/>
        </w:rPr>
        <w:t xml:space="preserve"> (and thus, if any of the </w:t>
      </w:r>
      <w:r w:rsidRPr="00A73FD8">
        <w:rPr>
          <w:i/>
          <w:sz w:val="24"/>
          <w:szCs w:val="24"/>
        </w:rPr>
        <w:t>Supreme Court Criminal Supplementary Rules 2014</w:t>
      </w:r>
      <w:r w:rsidRPr="00A73FD8">
        <w:rPr>
          <w:sz w:val="24"/>
          <w:szCs w:val="24"/>
        </w:rPr>
        <w:t xml:space="preserve"> is inapplicable in the District Court, there will be a gap in the sequential numbering of these rules)</w:t>
      </w:r>
      <w:r w:rsidR="003B6B73" w:rsidRPr="00A73FD8">
        <w:rPr>
          <w:sz w:val="24"/>
          <w:szCs w:val="24"/>
        </w:rPr>
        <w:t>.</w:t>
      </w:r>
    </w:p>
    <w:p w14:paraId="4DEBFC3F" w14:textId="77777777" w:rsidR="00E945B2" w:rsidRPr="00A73FD8" w:rsidRDefault="00CB1E6F" w:rsidP="00E945B2">
      <w:pPr>
        <w:ind w:left="851"/>
        <w:rPr>
          <w:sz w:val="24"/>
          <w:szCs w:val="24"/>
        </w:rPr>
      </w:pPr>
      <w:r w:rsidRPr="00A73FD8">
        <w:rPr>
          <w:sz w:val="24"/>
          <w:szCs w:val="24"/>
        </w:rPr>
        <w:t>Note</w:t>
      </w:r>
      <w:r w:rsidR="00584284">
        <w:rPr>
          <w:sz w:val="24"/>
          <w:szCs w:val="24"/>
        </w:rPr>
        <w:t xml:space="preserve"> </w:t>
      </w:r>
      <w:r w:rsidRPr="00A73FD8">
        <w:rPr>
          <w:sz w:val="24"/>
          <w:szCs w:val="24"/>
        </w:rPr>
        <w:t>-</w:t>
      </w:r>
      <w:r w:rsidR="00E945B2" w:rsidRPr="00A73FD8">
        <w:rPr>
          <w:sz w:val="24"/>
          <w:szCs w:val="24"/>
        </w:rPr>
        <w:t xml:space="preserve"> There is no equivalent to this rule in the </w:t>
      </w:r>
      <w:r w:rsidR="00E945B2" w:rsidRPr="00A73FD8">
        <w:rPr>
          <w:i/>
          <w:sz w:val="24"/>
          <w:szCs w:val="24"/>
        </w:rPr>
        <w:t>Supreme Court Criminal Supplementary Rules 2014</w:t>
      </w:r>
      <w:r w:rsidR="00E945B2" w:rsidRPr="00A73FD8">
        <w:rPr>
          <w:sz w:val="24"/>
          <w:szCs w:val="24"/>
        </w:rPr>
        <w:t xml:space="preserve"> </w:t>
      </w:r>
    </w:p>
    <w:p w14:paraId="7138E077" w14:textId="77777777" w:rsidR="00F936EB" w:rsidRDefault="00F936EB" w:rsidP="00F936EB">
      <w:pPr>
        <w:pStyle w:val="Part"/>
      </w:pPr>
      <w:bookmarkStart w:id="21" w:name="_Toc391026169"/>
      <w:bookmarkStart w:id="22" w:name="_Toc394312623"/>
      <w:bookmarkStart w:id="23" w:name="_Toc60132383"/>
      <w:r>
        <w:lastRenderedPageBreak/>
        <w:t>Part 4</w:t>
      </w:r>
      <w:r w:rsidRPr="00100315">
        <w:t>—</w:t>
      </w:r>
      <w:r>
        <w:t>Application of Rules</w:t>
      </w:r>
      <w:bookmarkEnd w:id="21"/>
      <w:bookmarkEnd w:id="22"/>
      <w:bookmarkEnd w:id="23"/>
    </w:p>
    <w:p w14:paraId="2E081E6E" w14:textId="77777777" w:rsidR="00F936EB" w:rsidRPr="00750571" w:rsidRDefault="004709D6" w:rsidP="004709D6">
      <w:pPr>
        <w:pStyle w:val="clausehead"/>
        <w:rPr>
          <w:sz w:val="24"/>
          <w:szCs w:val="24"/>
        </w:rPr>
      </w:pPr>
      <w:bookmarkStart w:id="24" w:name="_Toc60132384"/>
      <w:r>
        <w:t>4—</w:t>
      </w:r>
      <w:r w:rsidR="00CB1E6F" w:rsidRPr="00CB1E6F">
        <w:rPr>
          <w:b w:val="0"/>
          <w:sz w:val="24"/>
          <w:szCs w:val="24"/>
          <w:lang w:val="en-US"/>
        </w:rPr>
        <w:t>Note- there is no rule 4</w:t>
      </w:r>
      <w:bookmarkEnd w:id="24"/>
      <w:r w:rsidR="00CB1E6F" w:rsidRPr="00CB1E6F">
        <w:rPr>
          <w:b w:val="0"/>
          <w:sz w:val="24"/>
          <w:szCs w:val="24"/>
          <w:lang w:val="en-US"/>
        </w:rPr>
        <w:t xml:space="preserve"> </w:t>
      </w:r>
    </w:p>
    <w:p w14:paraId="08843CB4" w14:textId="77777777" w:rsidR="00F936EB" w:rsidRDefault="00F936EB" w:rsidP="00F936EB">
      <w:pPr>
        <w:pStyle w:val="Part"/>
      </w:pPr>
      <w:bookmarkStart w:id="25" w:name="_Toc391026171"/>
      <w:bookmarkStart w:id="26" w:name="_Toc394312625"/>
      <w:bookmarkStart w:id="27" w:name="_Toc60132385"/>
      <w:r>
        <w:t>Part 5</w:t>
      </w:r>
      <w:r w:rsidRPr="00100315">
        <w:t>—</w:t>
      </w:r>
      <w:r>
        <w:t>Repeal and transitional provisions</w:t>
      </w:r>
      <w:bookmarkEnd w:id="25"/>
      <w:bookmarkEnd w:id="26"/>
      <w:bookmarkEnd w:id="27"/>
    </w:p>
    <w:p w14:paraId="54197797" w14:textId="77777777" w:rsidR="00F936EB" w:rsidRDefault="00F936EB" w:rsidP="00F545F4">
      <w:pPr>
        <w:pStyle w:val="clausehead"/>
        <w:spacing w:after="120"/>
        <w:rPr>
          <w:lang w:val="en-US"/>
        </w:rPr>
      </w:pPr>
      <w:bookmarkStart w:id="28" w:name="_Toc394312626"/>
      <w:bookmarkStart w:id="29" w:name="_Toc60132386"/>
      <w:r>
        <w:rPr>
          <w:lang w:val="en-US"/>
        </w:rPr>
        <w:t>5—Repeal and transition</w:t>
      </w:r>
      <w:bookmarkEnd w:id="28"/>
      <w:r>
        <w:rPr>
          <w:lang w:val="en-US"/>
        </w:rPr>
        <w:t>al provision</w:t>
      </w:r>
      <w:bookmarkEnd w:id="29"/>
    </w:p>
    <w:p w14:paraId="700DD084" w14:textId="77777777" w:rsidR="00F936EB" w:rsidRPr="0036702A" w:rsidRDefault="00F936EB" w:rsidP="00F936EB">
      <w:pPr>
        <w:pStyle w:val="Hangindent"/>
        <w:rPr>
          <w:rFonts w:eastAsia="Times New Roman"/>
          <w:sz w:val="24"/>
          <w:szCs w:val="24"/>
          <w:lang w:val="en-US"/>
        </w:rPr>
      </w:pPr>
      <w:r w:rsidRPr="0036702A">
        <w:rPr>
          <w:sz w:val="24"/>
          <w:szCs w:val="24"/>
          <w:lang w:val="en-US"/>
        </w:rPr>
        <w:t>(1)</w:t>
      </w:r>
      <w:r w:rsidRPr="0036702A">
        <w:rPr>
          <w:sz w:val="24"/>
          <w:szCs w:val="24"/>
          <w:lang w:val="en-US"/>
        </w:rPr>
        <w:tab/>
        <w:t>Unless the Court otherwise directs, these Supplementary Rules apply to—</w:t>
      </w:r>
    </w:p>
    <w:p w14:paraId="5D055109" w14:textId="77777777" w:rsidR="00F936EB" w:rsidRPr="0036702A" w:rsidRDefault="00F936EB" w:rsidP="00F936EB">
      <w:pPr>
        <w:pStyle w:val="Doublehangingindent"/>
        <w:rPr>
          <w:sz w:val="24"/>
          <w:szCs w:val="24"/>
        </w:rPr>
      </w:pPr>
      <w:r w:rsidRPr="0036702A">
        <w:rPr>
          <w:sz w:val="24"/>
          <w:szCs w:val="24"/>
        </w:rPr>
        <w:t>(a)</w:t>
      </w:r>
      <w:r w:rsidRPr="0036702A">
        <w:rPr>
          <w:sz w:val="24"/>
          <w:szCs w:val="24"/>
        </w:rPr>
        <w:tab/>
        <w:t>proceedings commenced on or after the commencement date; and</w:t>
      </w:r>
    </w:p>
    <w:p w14:paraId="3002B47E" w14:textId="77777777" w:rsidR="00F936EB" w:rsidRPr="0036702A" w:rsidRDefault="00F936EB" w:rsidP="00F936EB">
      <w:pPr>
        <w:pStyle w:val="Doublehangingindent"/>
        <w:rPr>
          <w:sz w:val="24"/>
          <w:szCs w:val="24"/>
        </w:rPr>
      </w:pPr>
      <w:r w:rsidRPr="0036702A">
        <w:rPr>
          <w:sz w:val="24"/>
          <w:szCs w:val="24"/>
        </w:rPr>
        <w:t>(b)</w:t>
      </w:r>
      <w:r w:rsidRPr="0036702A">
        <w:rPr>
          <w:sz w:val="24"/>
          <w:szCs w:val="24"/>
        </w:rPr>
        <w:tab/>
        <w:t>steps taken or required to be taken or matters occurring on or after the commencement date in proceedings commenced before the commencement date.</w:t>
      </w:r>
    </w:p>
    <w:p w14:paraId="72D300AA" w14:textId="77777777" w:rsidR="00F936EB" w:rsidRDefault="00F936EB" w:rsidP="00F936EB">
      <w:pPr>
        <w:pStyle w:val="Hangindent"/>
        <w:rPr>
          <w:lang w:val="en-US"/>
        </w:rPr>
      </w:pPr>
      <w:r>
        <w:rPr>
          <w:rFonts w:cs="Arial"/>
          <w:sz w:val="24"/>
          <w:szCs w:val="24"/>
        </w:rPr>
        <w:t>(2)</w:t>
      </w:r>
      <w:r>
        <w:rPr>
          <w:rFonts w:cs="Arial"/>
          <w:sz w:val="24"/>
          <w:szCs w:val="24"/>
        </w:rPr>
        <w:tab/>
        <w:t>A</w:t>
      </w:r>
      <w:r w:rsidRPr="00750571">
        <w:rPr>
          <w:rFonts w:cs="Arial"/>
          <w:sz w:val="24"/>
          <w:szCs w:val="24"/>
        </w:rPr>
        <w:t xml:space="preserve">ll practice directions and practice notes made before the commencement date, insofar as they applied to the criminal jurisdiction, are superseded by these </w:t>
      </w:r>
      <w:r w:rsidRPr="00750571">
        <w:rPr>
          <w:iCs/>
          <w:sz w:val="24"/>
          <w:szCs w:val="24"/>
        </w:rPr>
        <w:t>Supplementary Rules</w:t>
      </w:r>
      <w:r w:rsidRPr="00750571">
        <w:rPr>
          <w:rFonts w:cs="Arial"/>
          <w:sz w:val="24"/>
          <w:szCs w:val="24"/>
        </w:rPr>
        <w:t>.</w:t>
      </w:r>
      <w:r>
        <w:rPr>
          <w:lang w:val="en-US"/>
        </w:rPr>
        <w:t xml:space="preserve"> </w:t>
      </w:r>
    </w:p>
    <w:p w14:paraId="23CD711F" w14:textId="77777777" w:rsidR="00F936EB" w:rsidRPr="008A1CB7" w:rsidRDefault="00F936EB" w:rsidP="00F936EB">
      <w:pPr>
        <w:pStyle w:val="Hangindent"/>
        <w:rPr>
          <w:sz w:val="24"/>
          <w:szCs w:val="24"/>
        </w:rPr>
      </w:pPr>
      <w:r>
        <w:rPr>
          <w:sz w:val="24"/>
          <w:szCs w:val="24"/>
        </w:rPr>
        <w:t>(3</w:t>
      </w:r>
      <w:r w:rsidRPr="008A1CB7">
        <w:rPr>
          <w:sz w:val="24"/>
          <w:szCs w:val="24"/>
        </w:rPr>
        <w:t>)</w:t>
      </w:r>
      <w:r w:rsidRPr="008A1CB7">
        <w:rPr>
          <w:sz w:val="24"/>
          <w:szCs w:val="24"/>
        </w:rPr>
        <w:tab/>
        <w:t xml:space="preserve">The Court may give directions </w:t>
      </w:r>
      <w:r>
        <w:rPr>
          <w:sz w:val="24"/>
          <w:szCs w:val="24"/>
        </w:rPr>
        <w:t>about which rule is to apply</w:t>
      </w:r>
      <w:r w:rsidRPr="008A1CB7">
        <w:rPr>
          <w:sz w:val="24"/>
          <w:szCs w:val="24"/>
        </w:rPr>
        <w:t xml:space="preserve"> to a transitional proceeding or a particular step in a transitional proceeding. </w:t>
      </w:r>
    </w:p>
    <w:p w14:paraId="1B797361" w14:textId="77777777" w:rsidR="00F936EB" w:rsidRDefault="00F936EB" w:rsidP="00F936EB">
      <w:pPr>
        <w:spacing w:after="0" w:line="240" w:lineRule="auto"/>
        <w:rPr>
          <w:rFonts w:eastAsia="Times New Roman"/>
          <w:color w:val="000000"/>
          <w:szCs w:val="23"/>
          <w:lang w:val="en-US"/>
        </w:rPr>
      </w:pPr>
      <w:r>
        <w:br w:type="page"/>
      </w:r>
    </w:p>
    <w:p w14:paraId="1D4BFDCC" w14:textId="77777777" w:rsidR="00F936EB" w:rsidRDefault="00F936EB" w:rsidP="00F936EB">
      <w:pPr>
        <w:pStyle w:val="Chapter"/>
        <w:ind w:left="0" w:firstLine="0"/>
      </w:pPr>
      <w:bookmarkStart w:id="30" w:name="_Toc394312627"/>
      <w:bookmarkStart w:id="31" w:name="_Toc60132387"/>
      <w:r>
        <w:lastRenderedPageBreak/>
        <w:t>Chapter 2—General procedural rules and allocation of Court business</w:t>
      </w:r>
      <w:bookmarkEnd w:id="30"/>
      <w:bookmarkEnd w:id="31"/>
    </w:p>
    <w:p w14:paraId="07543F5F" w14:textId="77777777" w:rsidR="00F936EB" w:rsidRPr="00100315" w:rsidRDefault="00F936EB" w:rsidP="00F936EB">
      <w:pPr>
        <w:pStyle w:val="Part"/>
      </w:pPr>
      <w:bookmarkStart w:id="32" w:name="_Toc387930615"/>
      <w:bookmarkStart w:id="33" w:name="_Toc394312628"/>
      <w:bookmarkStart w:id="34" w:name="_Toc60132388"/>
      <w:bookmarkStart w:id="35" w:name="Elkera_Print_TOC29"/>
      <w:r w:rsidRPr="00100315">
        <w:t>Part 1—Sittings</w:t>
      </w:r>
      <w:bookmarkEnd w:id="32"/>
      <w:bookmarkEnd w:id="33"/>
      <w:bookmarkEnd w:id="34"/>
    </w:p>
    <w:p w14:paraId="460FE532" w14:textId="77777777" w:rsidR="00F936EB" w:rsidRPr="00750571" w:rsidRDefault="00F936EB" w:rsidP="00F936EB">
      <w:pPr>
        <w:pStyle w:val="IndentedPara"/>
        <w:rPr>
          <w:i/>
          <w:sz w:val="24"/>
          <w:szCs w:val="24"/>
        </w:rPr>
      </w:pPr>
      <w:bookmarkStart w:id="36" w:name="_Toc387930617"/>
      <w:r w:rsidRPr="00750571">
        <w:rPr>
          <w:sz w:val="24"/>
          <w:szCs w:val="24"/>
        </w:rPr>
        <w:t>[</w:t>
      </w:r>
      <w:r w:rsidRPr="00750571">
        <w:rPr>
          <w:i/>
          <w:sz w:val="24"/>
          <w:szCs w:val="24"/>
        </w:rPr>
        <w:t>no supplementary rules</w:t>
      </w:r>
      <w:r w:rsidRPr="00750571">
        <w:rPr>
          <w:sz w:val="24"/>
          <w:szCs w:val="24"/>
        </w:rPr>
        <w:t>]</w:t>
      </w:r>
    </w:p>
    <w:p w14:paraId="6AD88627" w14:textId="77777777" w:rsidR="00F936EB" w:rsidRDefault="00F936EB" w:rsidP="00F936EB">
      <w:pPr>
        <w:pStyle w:val="Part"/>
      </w:pPr>
      <w:bookmarkStart w:id="37" w:name="_Toc394312629"/>
      <w:bookmarkStart w:id="38" w:name="_Toc60132389"/>
      <w:r>
        <w:t>Part 2—Public access to hearings</w:t>
      </w:r>
      <w:bookmarkEnd w:id="35"/>
      <w:bookmarkEnd w:id="36"/>
      <w:bookmarkEnd w:id="37"/>
      <w:bookmarkEnd w:id="38"/>
    </w:p>
    <w:p w14:paraId="0F9F81F4" w14:textId="77777777" w:rsidR="00F936EB" w:rsidRPr="00750571" w:rsidRDefault="00F936EB" w:rsidP="00F936EB">
      <w:pPr>
        <w:pStyle w:val="IndentedPara"/>
        <w:rPr>
          <w:i/>
          <w:sz w:val="24"/>
          <w:szCs w:val="24"/>
        </w:rPr>
      </w:pPr>
      <w:bookmarkStart w:id="39" w:name="Elkera_Print_TOC31"/>
      <w:bookmarkStart w:id="40" w:name="_Toc387930621"/>
      <w:r w:rsidRPr="00750571">
        <w:rPr>
          <w:sz w:val="24"/>
          <w:szCs w:val="24"/>
        </w:rPr>
        <w:t>[</w:t>
      </w:r>
      <w:r w:rsidRPr="00750571">
        <w:rPr>
          <w:i/>
          <w:sz w:val="24"/>
          <w:szCs w:val="24"/>
        </w:rPr>
        <w:t>no supplementary rules</w:t>
      </w:r>
      <w:r w:rsidRPr="00750571">
        <w:rPr>
          <w:sz w:val="24"/>
          <w:szCs w:val="24"/>
        </w:rPr>
        <w:t>]</w:t>
      </w:r>
    </w:p>
    <w:p w14:paraId="754923D0" w14:textId="77777777" w:rsidR="00F936EB" w:rsidRPr="001E043B" w:rsidRDefault="00F936EB" w:rsidP="00F936EB">
      <w:pPr>
        <w:pStyle w:val="Part"/>
      </w:pPr>
      <w:bookmarkStart w:id="41" w:name="_Toc394312630"/>
      <w:bookmarkStart w:id="42" w:name="_Toc60132390"/>
      <w:r w:rsidRPr="001E043B">
        <w:t>Part 3—Court's control of procedure</w:t>
      </w:r>
      <w:bookmarkEnd w:id="39"/>
      <w:bookmarkEnd w:id="40"/>
      <w:bookmarkEnd w:id="41"/>
      <w:bookmarkEnd w:id="42"/>
    </w:p>
    <w:p w14:paraId="11EFC8EB" w14:textId="77777777" w:rsidR="00F936EB" w:rsidRPr="00750571" w:rsidRDefault="00F936EB" w:rsidP="00F936EB">
      <w:pPr>
        <w:pStyle w:val="IndentedPara"/>
        <w:rPr>
          <w:i/>
          <w:sz w:val="24"/>
          <w:szCs w:val="24"/>
        </w:rPr>
      </w:pPr>
      <w:bookmarkStart w:id="43" w:name="Elkera_Print_TOC37"/>
      <w:bookmarkStart w:id="44" w:name="_Toc387930625"/>
      <w:r w:rsidRPr="00750571">
        <w:rPr>
          <w:sz w:val="24"/>
          <w:szCs w:val="24"/>
        </w:rPr>
        <w:t>[</w:t>
      </w:r>
      <w:r w:rsidRPr="00750571">
        <w:rPr>
          <w:i/>
          <w:sz w:val="24"/>
          <w:szCs w:val="24"/>
        </w:rPr>
        <w:t>no supplementary rules</w:t>
      </w:r>
      <w:r w:rsidRPr="00750571">
        <w:rPr>
          <w:sz w:val="24"/>
          <w:szCs w:val="24"/>
        </w:rPr>
        <w:t>]</w:t>
      </w:r>
    </w:p>
    <w:p w14:paraId="36FB97A5" w14:textId="77777777" w:rsidR="00F936EB" w:rsidRDefault="00F936EB" w:rsidP="00F936EB">
      <w:pPr>
        <w:pStyle w:val="Part"/>
      </w:pPr>
      <w:bookmarkStart w:id="45" w:name="_Toc394312631"/>
      <w:bookmarkStart w:id="46" w:name="_Toc60132391"/>
      <w:r>
        <w:t>Part 4—Distribution of Court's business</w:t>
      </w:r>
      <w:bookmarkEnd w:id="43"/>
      <w:bookmarkEnd w:id="44"/>
      <w:bookmarkEnd w:id="45"/>
      <w:bookmarkEnd w:id="46"/>
    </w:p>
    <w:p w14:paraId="6CF55839"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1B468742" w14:textId="77777777" w:rsidR="00F936EB" w:rsidRDefault="00F936EB" w:rsidP="00F936EB">
      <w:pPr>
        <w:pStyle w:val="Part"/>
      </w:pPr>
      <w:bookmarkStart w:id="47" w:name="_Toc394312632"/>
      <w:bookmarkStart w:id="48" w:name="_Toc60132392"/>
      <w:r>
        <w:t>Part 5—Representation</w:t>
      </w:r>
      <w:bookmarkEnd w:id="47"/>
      <w:bookmarkEnd w:id="48"/>
    </w:p>
    <w:p w14:paraId="7BBFAEE3" w14:textId="77777777" w:rsidR="00F936EB" w:rsidRDefault="00F936EB" w:rsidP="00D32B94">
      <w:pPr>
        <w:pStyle w:val="clausehead"/>
        <w:spacing w:after="120"/>
        <w:rPr>
          <w:lang w:val="en-US"/>
        </w:rPr>
      </w:pPr>
      <w:bookmarkStart w:id="49" w:name="_Toc394312633"/>
      <w:bookmarkStart w:id="50" w:name="_Toc60132393"/>
      <w:r>
        <w:rPr>
          <w:lang w:val="en-US"/>
        </w:rPr>
        <w:t>6—Notice of acting and address for service</w:t>
      </w:r>
      <w:bookmarkEnd w:id="49"/>
      <w:bookmarkEnd w:id="50"/>
    </w:p>
    <w:p w14:paraId="03A53859"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 notice of acting and address for service under rule 18(3)(c) of the Rules is to be in form 5A.</w:t>
      </w:r>
    </w:p>
    <w:p w14:paraId="746F67CD" w14:textId="77777777" w:rsidR="00F936EB" w:rsidRPr="0036702A" w:rsidRDefault="00F936EB" w:rsidP="00F936EB">
      <w:pPr>
        <w:pStyle w:val="Hangindent"/>
        <w:rPr>
          <w:sz w:val="24"/>
          <w:szCs w:val="24"/>
        </w:rPr>
      </w:pPr>
      <w:r w:rsidRPr="0036702A">
        <w:rPr>
          <w:sz w:val="24"/>
          <w:szCs w:val="24"/>
        </w:rPr>
        <w:t>(2)</w:t>
      </w:r>
      <w:r w:rsidRPr="0036702A">
        <w:rPr>
          <w:sz w:val="24"/>
          <w:szCs w:val="24"/>
        </w:rPr>
        <w:tab/>
        <w:t>A notice of acting and address for service under rule 18(4)(b) of the Rules is to be in form 5A.</w:t>
      </w:r>
    </w:p>
    <w:p w14:paraId="70EE0986" w14:textId="77777777" w:rsidR="00F936EB" w:rsidRDefault="00F936EB" w:rsidP="00F936EB">
      <w:pPr>
        <w:pStyle w:val="Hangindent"/>
        <w:rPr>
          <w:sz w:val="24"/>
          <w:szCs w:val="24"/>
        </w:rPr>
      </w:pPr>
      <w:r w:rsidRPr="0036702A">
        <w:rPr>
          <w:sz w:val="24"/>
          <w:szCs w:val="24"/>
        </w:rPr>
        <w:t>(3)</w:t>
      </w:r>
      <w:r w:rsidRPr="0036702A">
        <w:rPr>
          <w:sz w:val="24"/>
          <w:szCs w:val="24"/>
        </w:rPr>
        <w:tab/>
        <w:t>A notice of acting in person and address for service by a party under rule 18(4)(a) of the Rules is to be in form 5B.</w:t>
      </w:r>
    </w:p>
    <w:p w14:paraId="7A3FACAD" w14:textId="77777777" w:rsidR="00883E24" w:rsidRDefault="00883E24" w:rsidP="00883E24">
      <w:pPr>
        <w:pStyle w:val="Hangindent"/>
        <w:rPr>
          <w:sz w:val="24"/>
          <w:szCs w:val="24"/>
        </w:rPr>
      </w:pPr>
      <w:r>
        <w:rPr>
          <w:sz w:val="24"/>
          <w:szCs w:val="24"/>
        </w:rPr>
        <w:t>(4)</w:t>
      </w:r>
      <w:r>
        <w:rPr>
          <w:sz w:val="24"/>
          <w:szCs w:val="24"/>
        </w:rPr>
        <w:tab/>
      </w:r>
      <w:r w:rsidRPr="00883E24">
        <w:rPr>
          <w:sz w:val="24"/>
          <w:szCs w:val="24"/>
        </w:rPr>
        <w:t xml:space="preserve">A notice of acting and address for service under rule 18(1) of the Rules is not </w:t>
      </w:r>
      <w:r w:rsidRPr="004C0591">
        <w:rPr>
          <w:sz w:val="24"/>
          <w:szCs w:val="24"/>
        </w:rPr>
        <w:t>required if a statement before arraignment is filed by the solicitor for the accused within the time specified in rule 23A of the Rules.</w:t>
      </w:r>
    </w:p>
    <w:p w14:paraId="77D072F0" w14:textId="77777777" w:rsidR="00F936EB" w:rsidRDefault="00F936EB" w:rsidP="00F936EB">
      <w:pPr>
        <w:spacing w:after="0" w:line="240" w:lineRule="auto"/>
        <w:rPr>
          <w:sz w:val="24"/>
          <w:szCs w:val="24"/>
        </w:rPr>
      </w:pPr>
      <w:r>
        <w:rPr>
          <w:sz w:val="24"/>
          <w:szCs w:val="24"/>
        </w:rPr>
        <w:br w:type="page"/>
      </w:r>
    </w:p>
    <w:p w14:paraId="12D65867" w14:textId="77777777" w:rsidR="00F936EB" w:rsidRDefault="00F936EB" w:rsidP="00F936EB">
      <w:pPr>
        <w:pStyle w:val="Chapter"/>
      </w:pPr>
      <w:bookmarkStart w:id="51" w:name="_Toc394312634"/>
      <w:bookmarkStart w:id="52" w:name="_Toc60132394"/>
      <w:r>
        <w:lastRenderedPageBreak/>
        <w:t>Chapter 3—Initiation of criminal proceedings</w:t>
      </w:r>
      <w:bookmarkEnd w:id="51"/>
      <w:bookmarkEnd w:id="52"/>
    </w:p>
    <w:p w14:paraId="440A1A98" w14:textId="77777777" w:rsidR="00F936EB" w:rsidRDefault="00F936EB" w:rsidP="00F936EB">
      <w:pPr>
        <w:pStyle w:val="Part"/>
      </w:pPr>
      <w:bookmarkStart w:id="53" w:name="_Toc394312635"/>
      <w:bookmarkStart w:id="54" w:name="_Toc60132395"/>
      <w:r>
        <w:t>Part 1—Information</w:t>
      </w:r>
      <w:bookmarkEnd w:id="53"/>
      <w:bookmarkEnd w:id="54"/>
    </w:p>
    <w:p w14:paraId="52AB1561" w14:textId="77777777" w:rsidR="00F936EB" w:rsidRDefault="00F936EB" w:rsidP="00D32B94">
      <w:pPr>
        <w:pStyle w:val="clausehead"/>
        <w:spacing w:after="120"/>
        <w:rPr>
          <w:lang w:val="en-US"/>
        </w:rPr>
      </w:pPr>
      <w:bookmarkStart w:id="55" w:name="_Toc394312636"/>
      <w:bookmarkStart w:id="56" w:name="_Toc60132396"/>
      <w:r>
        <w:rPr>
          <w:lang w:val="en-US"/>
        </w:rPr>
        <w:t>7—Information</w:t>
      </w:r>
      <w:bookmarkEnd w:id="55"/>
      <w:bookmarkEnd w:id="56"/>
    </w:p>
    <w:p w14:paraId="0860141E"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An information under rule 21(1) of the Rules is to be in form 3.</w:t>
      </w:r>
    </w:p>
    <w:p w14:paraId="68F06942" w14:textId="77777777" w:rsidR="00F936EB" w:rsidRPr="00907CB0" w:rsidRDefault="00F936EB" w:rsidP="00F936EB">
      <w:pPr>
        <w:pStyle w:val="Hangindent"/>
        <w:rPr>
          <w:sz w:val="24"/>
          <w:szCs w:val="24"/>
        </w:rPr>
      </w:pPr>
      <w:r w:rsidRPr="0036702A">
        <w:rPr>
          <w:sz w:val="24"/>
          <w:szCs w:val="24"/>
        </w:rPr>
        <w:t>(2)</w:t>
      </w:r>
      <w:r w:rsidRPr="0036702A">
        <w:rPr>
          <w:sz w:val="24"/>
          <w:szCs w:val="24"/>
        </w:rPr>
        <w:tab/>
        <w:t xml:space="preserve">A notice of prescribed proceedings under rule 23(1) of the Rules is to be in </w:t>
      </w:r>
      <w:r w:rsidRPr="00907CB0">
        <w:rPr>
          <w:sz w:val="24"/>
          <w:szCs w:val="24"/>
        </w:rPr>
        <w:t>form 4.</w:t>
      </w:r>
    </w:p>
    <w:p w14:paraId="1183FB63" w14:textId="77777777" w:rsidR="00227A0D" w:rsidRPr="00907CB0" w:rsidRDefault="00227A0D" w:rsidP="00F936EB">
      <w:pPr>
        <w:pStyle w:val="Hangindent"/>
        <w:rPr>
          <w:sz w:val="24"/>
          <w:szCs w:val="24"/>
        </w:rPr>
      </w:pPr>
      <w:r w:rsidRPr="00907CB0">
        <w:rPr>
          <w:sz w:val="24"/>
          <w:szCs w:val="24"/>
        </w:rPr>
        <w:t>(2A)</w:t>
      </w:r>
      <w:r w:rsidR="00907CB0" w:rsidRPr="00907CB0">
        <w:rPr>
          <w:sz w:val="24"/>
          <w:szCs w:val="24"/>
        </w:rPr>
        <w:tab/>
      </w:r>
      <w:r w:rsidRPr="00907CB0">
        <w:rPr>
          <w:sz w:val="24"/>
          <w:szCs w:val="24"/>
        </w:rPr>
        <w:t xml:space="preserve">An information </w:t>
      </w:r>
      <w:r w:rsidRPr="00907CB0">
        <w:rPr>
          <w:color w:val="000000"/>
          <w:sz w:val="24"/>
          <w:szCs w:val="24"/>
        </w:rPr>
        <w:t xml:space="preserve">providing the information identified in rule 21A </w:t>
      </w:r>
      <w:r w:rsidRPr="00907CB0">
        <w:rPr>
          <w:sz w:val="24"/>
          <w:szCs w:val="24"/>
        </w:rPr>
        <w:t>of the Rules is to be in Form 3.</w:t>
      </w:r>
    </w:p>
    <w:p w14:paraId="72404F40" w14:textId="77777777" w:rsidR="001B254F" w:rsidRPr="001B254F" w:rsidRDefault="002B6E82" w:rsidP="002B6E82">
      <w:pPr>
        <w:pStyle w:val="Hangindent"/>
        <w:rPr>
          <w:sz w:val="24"/>
          <w:szCs w:val="24"/>
        </w:rPr>
      </w:pPr>
      <w:r>
        <w:rPr>
          <w:sz w:val="24"/>
          <w:szCs w:val="24"/>
        </w:rPr>
        <w:t>(3)</w:t>
      </w:r>
      <w:r>
        <w:rPr>
          <w:sz w:val="24"/>
          <w:szCs w:val="24"/>
        </w:rPr>
        <w:tab/>
      </w:r>
      <w:r w:rsidR="001B254F" w:rsidRPr="001B254F">
        <w:rPr>
          <w:sz w:val="24"/>
          <w:szCs w:val="24"/>
        </w:rPr>
        <w:t xml:space="preserve">An information under rule 21(1) of the Rules is to be filed and served on the defendant’s solicitor, or the defendant if not represented, within 35 calendar days after the defendant is committed for trial pursuant to </w:t>
      </w:r>
      <w:r w:rsidR="00F308E5">
        <w:rPr>
          <w:sz w:val="24"/>
          <w:szCs w:val="24"/>
        </w:rPr>
        <w:t>section 117 of the Act.</w:t>
      </w:r>
    </w:p>
    <w:p w14:paraId="6A7A5C1F" w14:textId="77777777" w:rsidR="001B254F" w:rsidRPr="001B254F" w:rsidRDefault="001B254F" w:rsidP="002B6E82">
      <w:pPr>
        <w:pStyle w:val="Hangindent"/>
        <w:rPr>
          <w:sz w:val="24"/>
          <w:szCs w:val="24"/>
        </w:rPr>
      </w:pPr>
      <w:r w:rsidRPr="001B254F">
        <w:rPr>
          <w:sz w:val="24"/>
          <w:szCs w:val="24"/>
        </w:rPr>
        <w:t>(4)</w:t>
      </w:r>
      <w:r w:rsidR="002B6E82">
        <w:rPr>
          <w:sz w:val="24"/>
          <w:szCs w:val="24"/>
        </w:rPr>
        <w:tab/>
      </w:r>
      <w:r w:rsidRPr="001B254F">
        <w:rPr>
          <w:sz w:val="24"/>
          <w:szCs w:val="24"/>
        </w:rPr>
        <w:t>When a replacement information is filed in any matter, it is to be served on the defendant’s solicitor, or the defendant if not represented, accompanied by a letter setting out the effect of the replacement information compared to the previous information.</w:t>
      </w:r>
    </w:p>
    <w:p w14:paraId="732D0759" w14:textId="77777777" w:rsidR="001B254F" w:rsidRPr="001B254F" w:rsidRDefault="001B254F" w:rsidP="002B6E82">
      <w:pPr>
        <w:pStyle w:val="Hangindent"/>
        <w:spacing w:before="120"/>
        <w:ind w:left="2007"/>
        <w:jc w:val="both"/>
        <w:rPr>
          <w:b/>
          <w:sz w:val="20"/>
          <w:szCs w:val="20"/>
        </w:rPr>
      </w:pPr>
      <w:r w:rsidRPr="001B254F">
        <w:rPr>
          <w:b/>
          <w:sz w:val="20"/>
          <w:szCs w:val="20"/>
        </w:rPr>
        <w:t>Example—</w:t>
      </w:r>
    </w:p>
    <w:p w14:paraId="217FC55D" w14:textId="77777777" w:rsidR="001B254F" w:rsidRPr="001B254F" w:rsidRDefault="002B6E82" w:rsidP="002B6E82">
      <w:pPr>
        <w:pStyle w:val="Hangindent"/>
        <w:spacing w:before="120"/>
        <w:ind w:left="2007"/>
        <w:jc w:val="both"/>
        <w:rPr>
          <w:sz w:val="20"/>
          <w:szCs w:val="20"/>
        </w:rPr>
      </w:pPr>
      <w:r>
        <w:rPr>
          <w:sz w:val="20"/>
          <w:szCs w:val="20"/>
        </w:rPr>
        <w:tab/>
      </w:r>
      <w:r w:rsidR="001B254F" w:rsidRPr="001B254F">
        <w:rPr>
          <w:sz w:val="20"/>
          <w:szCs w:val="20"/>
        </w:rPr>
        <w:t xml:space="preserve">This information dated 24 July 2016 replaces the information dated 23 June 2015 on File No DCCRM-15-75 </w:t>
      </w:r>
      <w:r w:rsidR="001B254F" w:rsidRPr="001B254F">
        <w:rPr>
          <w:i/>
          <w:sz w:val="20"/>
          <w:szCs w:val="20"/>
        </w:rPr>
        <w:t>R v Smith</w:t>
      </w:r>
      <w:r w:rsidR="001B254F" w:rsidRPr="001B254F">
        <w:rPr>
          <w:sz w:val="20"/>
          <w:szCs w:val="20"/>
        </w:rPr>
        <w:t xml:space="preserve">. The information dated 24 July 2016 is filed so that the defendant may enter guilty pleas as a result of negotiations between the parties. </w:t>
      </w:r>
    </w:p>
    <w:p w14:paraId="3DC34725" w14:textId="77777777" w:rsidR="001B254F" w:rsidRPr="001B254F" w:rsidRDefault="001B254F" w:rsidP="002B6E82">
      <w:pPr>
        <w:pStyle w:val="Hangindent"/>
        <w:spacing w:before="120"/>
        <w:ind w:left="2007"/>
        <w:jc w:val="both"/>
        <w:rPr>
          <w:sz w:val="20"/>
          <w:szCs w:val="20"/>
        </w:rPr>
      </w:pPr>
      <w:r w:rsidRPr="001B254F">
        <w:rPr>
          <w:sz w:val="20"/>
          <w:szCs w:val="20"/>
        </w:rPr>
        <w:t>OR</w:t>
      </w:r>
    </w:p>
    <w:p w14:paraId="078D1F6D" w14:textId="77777777" w:rsidR="001B254F" w:rsidRPr="001B254F" w:rsidRDefault="002B6E82" w:rsidP="002B6E82">
      <w:pPr>
        <w:pStyle w:val="Hangindent"/>
        <w:spacing w:before="120"/>
        <w:ind w:left="2007"/>
        <w:jc w:val="both"/>
        <w:rPr>
          <w:sz w:val="20"/>
          <w:szCs w:val="20"/>
        </w:rPr>
      </w:pPr>
      <w:r>
        <w:rPr>
          <w:sz w:val="20"/>
          <w:szCs w:val="20"/>
        </w:rPr>
        <w:tab/>
      </w:r>
      <w:r w:rsidR="001B254F" w:rsidRPr="001B254F">
        <w:rPr>
          <w:sz w:val="20"/>
          <w:szCs w:val="20"/>
        </w:rPr>
        <w:t xml:space="preserve">This information dated 25 June 2016 replaces the information dated 15 January 2016 on file no DCCRM-15-76 </w:t>
      </w:r>
      <w:r w:rsidR="001B254F" w:rsidRPr="001B254F">
        <w:rPr>
          <w:i/>
          <w:sz w:val="20"/>
          <w:szCs w:val="20"/>
        </w:rPr>
        <w:t>R v Doe</w:t>
      </w:r>
      <w:r w:rsidR="001B254F" w:rsidRPr="001B254F">
        <w:rPr>
          <w:sz w:val="20"/>
          <w:szCs w:val="20"/>
        </w:rPr>
        <w:t>. This information now joins three further defendants to this matter – John Smith, Jane Smith and Joe Bloggs.</w:t>
      </w:r>
    </w:p>
    <w:p w14:paraId="4BFB48ED" w14:textId="77777777" w:rsidR="00426442" w:rsidRPr="00426442" w:rsidRDefault="00426442" w:rsidP="00426442">
      <w:pPr>
        <w:pStyle w:val="clausehead"/>
        <w:rPr>
          <w:lang w:val="en-US"/>
        </w:rPr>
      </w:pPr>
      <w:bookmarkStart w:id="57" w:name="_Toc60132397"/>
      <w:r>
        <w:rPr>
          <w:lang w:val="en-US"/>
        </w:rPr>
        <w:t>7A—</w:t>
      </w:r>
      <w:r w:rsidRPr="00426442">
        <w:rPr>
          <w:lang w:val="en-US"/>
        </w:rPr>
        <w:t>Statement before arraignment</w:t>
      </w:r>
      <w:bookmarkEnd w:id="57"/>
    </w:p>
    <w:p w14:paraId="0EECEF63" w14:textId="77777777" w:rsidR="001B254F" w:rsidRPr="0036702A" w:rsidRDefault="00426442" w:rsidP="00426442">
      <w:pPr>
        <w:pStyle w:val="Hangindent"/>
        <w:ind w:left="851" w:firstLine="0"/>
        <w:rPr>
          <w:sz w:val="24"/>
          <w:szCs w:val="24"/>
        </w:rPr>
      </w:pPr>
      <w:r w:rsidRPr="00426442">
        <w:rPr>
          <w:rFonts w:eastAsia="Times New Roman"/>
          <w:sz w:val="24"/>
          <w:szCs w:val="24"/>
          <w:lang w:val="en-GB"/>
        </w:rPr>
        <w:t>A</w:t>
      </w:r>
      <w:r w:rsidRPr="00426442">
        <w:rPr>
          <w:rFonts w:eastAsia="Times New Roman"/>
          <w:sz w:val="24"/>
          <w:szCs w:val="24"/>
          <w:lang w:val="en-US"/>
        </w:rPr>
        <w:t xml:space="preserve"> statement before arraignment under rule 23A is to be in form 3A and is to be served on the Director.</w:t>
      </w:r>
    </w:p>
    <w:p w14:paraId="32A86775" w14:textId="77777777" w:rsidR="00F936EB" w:rsidRDefault="00F936EB" w:rsidP="00F936EB">
      <w:pPr>
        <w:pStyle w:val="Part"/>
      </w:pPr>
      <w:bookmarkStart w:id="58" w:name="_Toc394312637"/>
      <w:bookmarkStart w:id="59" w:name="_Toc60132398"/>
      <w:r>
        <w:t>Part 2—Arraignment</w:t>
      </w:r>
      <w:bookmarkEnd w:id="58"/>
      <w:bookmarkEnd w:id="59"/>
    </w:p>
    <w:p w14:paraId="0195D0B8" w14:textId="77777777" w:rsidR="00F936EB" w:rsidRDefault="00F936EB" w:rsidP="00D32B94">
      <w:pPr>
        <w:pStyle w:val="clausehead"/>
        <w:spacing w:after="120"/>
        <w:rPr>
          <w:lang w:val="en-US"/>
        </w:rPr>
      </w:pPr>
      <w:bookmarkStart w:id="60" w:name="_Toc394312638"/>
      <w:bookmarkStart w:id="61" w:name="_Toc60132399"/>
      <w:r>
        <w:rPr>
          <w:lang w:val="en-US"/>
        </w:rPr>
        <w:t>8—Timing of arraignment</w:t>
      </w:r>
      <w:bookmarkEnd w:id="60"/>
      <w:r>
        <w:rPr>
          <w:lang w:val="en-US"/>
        </w:rPr>
        <w:t xml:space="preserve"> and listing of trials</w:t>
      </w:r>
      <w:bookmarkEnd w:id="61"/>
    </w:p>
    <w:p w14:paraId="5A7922FB" w14:textId="77777777" w:rsidR="00F308E5" w:rsidRDefault="00F308E5" w:rsidP="003951C7">
      <w:pPr>
        <w:pStyle w:val="Hangindent"/>
        <w:rPr>
          <w:sz w:val="24"/>
          <w:szCs w:val="24"/>
        </w:rPr>
      </w:pPr>
      <w:r>
        <w:rPr>
          <w:sz w:val="24"/>
          <w:szCs w:val="24"/>
        </w:rPr>
        <w:t>(1)</w:t>
      </w:r>
      <w:r>
        <w:rPr>
          <w:sz w:val="24"/>
          <w:szCs w:val="24"/>
        </w:rPr>
        <w:tab/>
      </w:r>
      <w:r w:rsidRPr="005B118A">
        <w:rPr>
          <w:sz w:val="24"/>
          <w:szCs w:val="24"/>
        </w:rPr>
        <w:t xml:space="preserve">Persons committed for trial in Adelaide, whether in custody or on bail, are to appear before the Court on the </w:t>
      </w:r>
      <w:r>
        <w:rPr>
          <w:sz w:val="24"/>
          <w:szCs w:val="24"/>
        </w:rPr>
        <w:t>last</w:t>
      </w:r>
      <w:r w:rsidRPr="005B118A">
        <w:rPr>
          <w:sz w:val="24"/>
          <w:szCs w:val="24"/>
        </w:rPr>
        <w:t xml:space="preserve"> business day of the week being a date scheduled by the order of committal for trial.</w:t>
      </w:r>
    </w:p>
    <w:p w14:paraId="5200054C" w14:textId="77777777" w:rsidR="003951C7" w:rsidRPr="003951C7" w:rsidRDefault="003951C7" w:rsidP="003951C7">
      <w:pPr>
        <w:pStyle w:val="Hangindent"/>
        <w:rPr>
          <w:sz w:val="24"/>
          <w:szCs w:val="24"/>
        </w:rPr>
      </w:pPr>
      <w:r w:rsidRPr="003951C7">
        <w:rPr>
          <w:sz w:val="24"/>
          <w:szCs w:val="24"/>
        </w:rPr>
        <w:t>(1a)</w:t>
      </w:r>
      <w:r w:rsidRPr="003951C7">
        <w:rPr>
          <w:sz w:val="24"/>
          <w:szCs w:val="24"/>
        </w:rPr>
        <w:tab/>
        <w:t>Persons committed for sentence in Adelaide, whether in custody or on bail, are to appear before the Court on the last business day of the first week after the expiration of 56 calendar days from their committal for sentence.</w:t>
      </w:r>
    </w:p>
    <w:p w14:paraId="2B6D31EF" w14:textId="77777777" w:rsidR="00F936EB" w:rsidRPr="0036702A" w:rsidRDefault="00F936EB" w:rsidP="00FB30C6">
      <w:pPr>
        <w:pStyle w:val="Hangindent"/>
        <w:keepNext/>
        <w:keepLines/>
        <w:rPr>
          <w:sz w:val="24"/>
          <w:szCs w:val="24"/>
        </w:rPr>
      </w:pPr>
      <w:r w:rsidRPr="0036702A">
        <w:rPr>
          <w:sz w:val="24"/>
          <w:szCs w:val="24"/>
        </w:rPr>
        <w:t>(2)</w:t>
      </w:r>
      <w:r w:rsidRPr="0036702A">
        <w:rPr>
          <w:sz w:val="24"/>
          <w:szCs w:val="24"/>
        </w:rPr>
        <w:tab/>
        <w:t xml:space="preserve">Persons committed for trial or sentence at a place other than Adelaide, whether in custody or on bail, are to appear before the Court on the second business day of the first week of the next sittings </w:t>
      </w:r>
      <w:r w:rsidR="00FB30C6">
        <w:t>being a date scheduled by the order of</w:t>
      </w:r>
      <w:r w:rsidR="00FB30C6">
        <w:rPr>
          <w:sz w:val="24"/>
          <w:szCs w:val="24"/>
        </w:rPr>
        <w:t xml:space="preserve"> </w:t>
      </w:r>
      <w:r w:rsidRPr="0036702A">
        <w:rPr>
          <w:sz w:val="24"/>
          <w:szCs w:val="24"/>
        </w:rPr>
        <w:t>committal for trial or sentence.</w:t>
      </w:r>
    </w:p>
    <w:p w14:paraId="1721786A" w14:textId="77777777" w:rsidR="00F936EB" w:rsidRDefault="00F936EB" w:rsidP="00F936EB">
      <w:pPr>
        <w:pStyle w:val="Hangindent"/>
        <w:rPr>
          <w:sz w:val="24"/>
          <w:szCs w:val="24"/>
        </w:rPr>
      </w:pPr>
      <w:r w:rsidRPr="0036702A">
        <w:rPr>
          <w:sz w:val="24"/>
          <w:szCs w:val="24"/>
        </w:rPr>
        <w:t>(3)</w:t>
      </w:r>
      <w:r w:rsidRPr="0036702A">
        <w:rPr>
          <w:sz w:val="24"/>
          <w:szCs w:val="24"/>
        </w:rPr>
        <w:tab/>
        <w:t>Despite paragraphs (1) and (2), a Judge may direct that a person committed for trial or sentence is to appear before the Court at an earlier or later date.</w:t>
      </w:r>
    </w:p>
    <w:p w14:paraId="1D0A2642" w14:textId="77777777" w:rsidR="00FB30C6" w:rsidRPr="00FB30C6" w:rsidRDefault="00FB30C6" w:rsidP="00FB30C6">
      <w:pPr>
        <w:pStyle w:val="Hangindent"/>
        <w:keepNext/>
        <w:keepLines/>
        <w:rPr>
          <w:sz w:val="24"/>
          <w:szCs w:val="24"/>
        </w:rPr>
      </w:pPr>
      <w:r w:rsidRPr="00FB30C6">
        <w:rPr>
          <w:sz w:val="24"/>
          <w:szCs w:val="24"/>
        </w:rPr>
        <w:lastRenderedPageBreak/>
        <w:t>(3a)</w:t>
      </w:r>
      <w:r w:rsidRPr="00FB30C6">
        <w:rPr>
          <w:sz w:val="24"/>
          <w:szCs w:val="24"/>
        </w:rPr>
        <w:tab/>
        <w:t>When a person is committed for sentence, the Director is to file and serve not less than 14 days before arraignment on the defendant’s solicitor, or the defendant if not represented, a prosecution case summary setting out a summary of the facts upon which the Director intends to rely on sentencing and an antecedent report in respect of all matters.</w:t>
      </w:r>
    </w:p>
    <w:p w14:paraId="1D099C58" w14:textId="77777777" w:rsidR="0046203A" w:rsidRPr="0046203A" w:rsidRDefault="0046203A" w:rsidP="0046203A">
      <w:pPr>
        <w:pStyle w:val="Hangindent"/>
        <w:keepNext/>
        <w:keepLines/>
        <w:rPr>
          <w:sz w:val="24"/>
          <w:szCs w:val="24"/>
        </w:rPr>
      </w:pPr>
      <w:r w:rsidRPr="0046203A">
        <w:rPr>
          <w:sz w:val="24"/>
          <w:szCs w:val="24"/>
        </w:rPr>
        <w:t>(4)</w:t>
      </w:r>
      <w:r w:rsidRPr="0046203A">
        <w:rPr>
          <w:sz w:val="24"/>
          <w:szCs w:val="24"/>
        </w:rPr>
        <w:tab/>
        <w:t>When between committal and arraignment a person decid</w:t>
      </w:r>
      <w:r>
        <w:rPr>
          <w:sz w:val="24"/>
          <w:szCs w:val="24"/>
        </w:rPr>
        <w:t xml:space="preserve">es to change his or her plea </w:t>
      </w:r>
      <w:r w:rsidRPr="0046203A">
        <w:rPr>
          <w:sz w:val="24"/>
          <w:szCs w:val="24"/>
        </w:rPr>
        <w:t xml:space="preserve">to guilty - , </w:t>
      </w:r>
    </w:p>
    <w:p w14:paraId="14BFA9AC" w14:textId="77777777" w:rsidR="0046203A" w:rsidRPr="0046203A" w:rsidRDefault="0046203A" w:rsidP="001B4510">
      <w:pPr>
        <w:pStyle w:val="ListParagraph"/>
        <w:tabs>
          <w:tab w:val="left" w:pos="1985"/>
        </w:tabs>
        <w:spacing w:before="120" w:after="120" w:line="240" w:lineRule="auto"/>
        <w:ind w:left="1984" w:hanging="544"/>
        <w:contextualSpacing w:val="0"/>
        <w:rPr>
          <w:sz w:val="24"/>
          <w:szCs w:val="24"/>
        </w:rPr>
      </w:pPr>
      <w:r w:rsidRPr="0046203A">
        <w:rPr>
          <w:sz w:val="24"/>
          <w:szCs w:val="24"/>
        </w:rPr>
        <w:t>(</w:t>
      </w:r>
      <w:proofErr w:type="spellStart"/>
      <w:r w:rsidRPr="0046203A">
        <w:rPr>
          <w:sz w:val="24"/>
          <w:szCs w:val="24"/>
        </w:rPr>
        <w:t>i</w:t>
      </w:r>
      <w:proofErr w:type="spellEnd"/>
      <w:r w:rsidRPr="0046203A">
        <w:rPr>
          <w:sz w:val="24"/>
          <w:szCs w:val="24"/>
        </w:rPr>
        <w:t>)</w:t>
      </w:r>
      <w:r w:rsidRPr="0046203A">
        <w:rPr>
          <w:sz w:val="24"/>
          <w:szCs w:val="24"/>
        </w:rPr>
        <w:tab/>
        <w:t>the person by his or her lawyer if applicable is to file as soon as practicable a notification of change of plea. The notification is to be in form 3B and is to be served on the Director.</w:t>
      </w:r>
    </w:p>
    <w:p w14:paraId="17DCECD3" w14:textId="77777777" w:rsidR="0046203A" w:rsidRPr="0046203A" w:rsidRDefault="0046203A" w:rsidP="001B4510">
      <w:pPr>
        <w:pStyle w:val="ListParagraph"/>
        <w:tabs>
          <w:tab w:val="left" w:pos="1985"/>
        </w:tabs>
        <w:spacing w:before="120" w:line="240" w:lineRule="auto"/>
        <w:ind w:left="1985" w:hanging="544"/>
        <w:rPr>
          <w:sz w:val="24"/>
          <w:szCs w:val="24"/>
        </w:rPr>
      </w:pPr>
      <w:r w:rsidRPr="0046203A">
        <w:rPr>
          <w:sz w:val="24"/>
          <w:szCs w:val="24"/>
        </w:rPr>
        <w:t>(ii)</w:t>
      </w:r>
      <w:r w:rsidRPr="0046203A">
        <w:rPr>
          <w:sz w:val="24"/>
          <w:szCs w:val="24"/>
        </w:rPr>
        <w:tab/>
        <w:t>the Director is as soon as reasonably practicable to file and serve on the defendant’s solicitor or the defendant if not represented a prosecution case summary.</w:t>
      </w:r>
    </w:p>
    <w:p w14:paraId="11761D1E" w14:textId="77777777" w:rsidR="00F936EB" w:rsidRDefault="00F936EB" w:rsidP="00AF7792">
      <w:pPr>
        <w:pStyle w:val="clausehead"/>
        <w:rPr>
          <w:lang w:val="en-US"/>
        </w:rPr>
      </w:pPr>
      <w:bookmarkStart w:id="62" w:name="_Toc394312639"/>
      <w:bookmarkStart w:id="63" w:name="_Toc60132400"/>
      <w:r>
        <w:rPr>
          <w:lang w:val="en-US"/>
        </w:rPr>
        <w:t>9—</w:t>
      </w:r>
      <w:bookmarkEnd w:id="62"/>
      <w:r>
        <w:rPr>
          <w:lang w:val="en-US"/>
        </w:rPr>
        <w:t>Procedure at arraignment</w:t>
      </w:r>
      <w:bookmarkEnd w:id="63"/>
    </w:p>
    <w:p w14:paraId="0A95BBEC" w14:textId="77777777" w:rsidR="00AF7792" w:rsidRPr="00AF7792" w:rsidRDefault="00AF7792" w:rsidP="00AF7792">
      <w:pPr>
        <w:pStyle w:val="Hangindent"/>
        <w:rPr>
          <w:szCs w:val="24"/>
        </w:rPr>
      </w:pPr>
      <w:r w:rsidRPr="00AF7792">
        <w:rPr>
          <w:szCs w:val="24"/>
        </w:rPr>
        <w:t>(1)</w:t>
      </w:r>
      <w:r w:rsidRPr="00AF7792">
        <w:rPr>
          <w:szCs w:val="24"/>
        </w:rPr>
        <w:tab/>
        <w:t xml:space="preserve">Subject to subrule (2), on a plea of not guilty at arraignment, or if there is to be a disputed facts hearing, the matter will be listed for trial or a disputed facts hearing on the next available date in accordance with the principles of </w:t>
      </w:r>
      <w:proofErr w:type="spellStart"/>
      <w:r w:rsidRPr="00AF7792">
        <w:rPr>
          <w:szCs w:val="24"/>
        </w:rPr>
        <w:t>case</w:t>
      </w:r>
      <w:proofErr w:type="spellEnd"/>
      <w:r w:rsidRPr="00AF7792">
        <w:rPr>
          <w:szCs w:val="24"/>
        </w:rPr>
        <w:t xml:space="preserve"> flow management articulated in supplementary rules 10 and 11 and remanded to the first directions hearing in accordance with rule 27 of the Rules. </w:t>
      </w:r>
    </w:p>
    <w:p w14:paraId="2D56F2E0" w14:textId="77777777" w:rsidR="00AF7792" w:rsidRPr="00AF7792" w:rsidRDefault="00AF7792" w:rsidP="00AF7792">
      <w:pPr>
        <w:pStyle w:val="Hangindent"/>
        <w:rPr>
          <w:szCs w:val="24"/>
        </w:rPr>
      </w:pPr>
      <w:r w:rsidRPr="00AF7792">
        <w:rPr>
          <w:szCs w:val="24"/>
        </w:rPr>
        <w:t>(2)</w:t>
      </w:r>
      <w:r w:rsidRPr="00AF7792">
        <w:rPr>
          <w:szCs w:val="24"/>
        </w:rPr>
        <w:tab/>
        <w:t xml:space="preserve">On matters committed for sentence, submissions on sentence are to be made on the arraignment day unless good reason exists for a later date to be set for submissions on sentence. </w:t>
      </w:r>
    </w:p>
    <w:p w14:paraId="7BB0404E" w14:textId="77777777" w:rsidR="00AF7792" w:rsidRPr="00AF7792" w:rsidRDefault="00AF7792" w:rsidP="00AF7792">
      <w:pPr>
        <w:pStyle w:val="Hangindent"/>
        <w:rPr>
          <w:szCs w:val="24"/>
        </w:rPr>
      </w:pPr>
      <w:r>
        <w:rPr>
          <w:szCs w:val="24"/>
        </w:rPr>
        <w:t>(3)</w:t>
      </w:r>
      <w:r w:rsidRPr="00AF7792">
        <w:rPr>
          <w:szCs w:val="24"/>
        </w:rPr>
        <w:tab/>
        <w:t xml:space="preserve">On matters committed for trial but for which a plea of guilty is entered at arraignment, a date for submissions on sentence will usually be set unless the presiding Judge directs otherwise. </w:t>
      </w:r>
    </w:p>
    <w:p w14:paraId="339FF4BC" w14:textId="77777777" w:rsidR="00AF7792" w:rsidRPr="00AF7792" w:rsidRDefault="00AF7792" w:rsidP="00AF7792">
      <w:pPr>
        <w:pStyle w:val="Hangindent"/>
        <w:rPr>
          <w:szCs w:val="24"/>
        </w:rPr>
      </w:pPr>
      <w:r w:rsidRPr="00AF7792">
        <w:rPr>
          <w:szCs w:val="24"/>
        </w:rPr>
        <w:t>(4)</w:t>
      </w:r>
      <w:r w:rsidRPr="00AF7792">
        <w:rPr>
          <w:szCs w:val="24"/>
        </w:rPr>
        <w:tab/>
        <w:t>If, at any time after arraignment it is agreed that a matter is to be resolved by a plea of guilty, the accused by his or her lawyer if applicable is to file as soon as practicable a notification of change of plea. The notification is to be in form 3B 3A and is to be served on the Director. The Registrar will place the matter into an arraignment list and vacate any listed hearings or trial for that matter.</w:t>
      </w:r>
    </w:p>
    <w:p w14:paraId="1A7CA8A4" w14:textId="77777777" w:rsidR="00F936EB" w:rsidRDefault="00F936EB" w:rsidP="00F936EB">
      <w:pPr>
        <w:pStyle w:val="Part"/>
      </w:pPr>
      <w:bookmarkStart w:id="64" w:name="_Toc60132401"/>
      <w:r>
        <w:t>Part 3—Listing for trial and disposition of cases</w:t>
      </w:r>
      <w:bookmarkEnd w:id="64"/>
    </w:p>
    <w:p w14:paraId="3B5E54F9" w14:textId="77777777" w:rsidR="00F936EB" w:rsidRDefault="00F936EB" w:rsidP="00D32B94">
      <w:pPr>
        <w:pStyle w:val="clausehead"/>
        <w:spacing w:after="120"/>
        <w:rPr>
          <w:lang w:val="en-US"/>
        </w:rPr>
      </w:pPr>
      <w:bookmarkStart w:id="65" w:name="_Toc60132402"/>
      <w:r>
        <w:rPr>
          <w:lang w:val="en-US"/>
        </w:rPr>
        <w:t>10—Disposition of cases</w:t>
      </w:r>
      <w:bookmarkEnd w:id="65"/>
    </w:p>
    <w:p w14:paraId="2CEEB38B" w14:textId="77777777" w:rsidR="00F936EB" w:rsidRPr="0036702A" w:rsidRDefault="00F936EB" w:rsidP="00F936EB">
      <w:pPr>
        <w:pStyle w:val="Hangindent"/>
        <w:rPr>
          <w:sz w:val="24"/>
          <w:szCs w:val="24"/>
        </w:rPr>
      </w:pPr>
      <w:r w:rsidRPr="0036702A">
        <w:rPr>
          <w:sz w:val="24"/>
          <w:szCs w:val="24"/>
        </w:rPr>
        <w:t>(1)</w:t>
      </w:r>
      <w:r w:rsidRPr="0036702A">
        <w:rPr>
          <w:sz w:val="24"/>
          <w:szCs w:val="24"/>
        </w:rPr>
        <w:tab/>
        <w:t xml:space="preserve">The system of </w:t>
      </w:r>
      <w:proofErr w:type="spellStart"/>
      <w:r w:rsidRPr="0036702A">
        <w:rPr>
          <w:sz w:val="24"/>
          <w:szCs w:val="24"/>
        </w:rPr>
        <w:t>case</w:t>
      </w:r>
      <w:proofErr w:type="spellEnd"/>
      <w:r w:rsidRPr="0036702A">
        <w:rPr>
          <w:sz w:val="24"/>
          <w:szCs w:val="24"/>
        </w:rPr>
        <w:t xml:space="preserve"> flow management will be administered with the aims that—</w:t>
      </w:r>
    </w:p>
    <w:p w14:paraId="5C6AA23A" w14:textId="77777777" w:rsidR="00F936EB" w:rsidRPr="00750571" w:rsidRDefault="00F936EB" w:rsidP="00F936EB">
      <w:pPr>
        <w:pStyle w:val="Doublehangingindent"/>
        <w:jc w:val="both"/>
        <w:rPr>
          <w:sz w:val="24"/>
          <w:szCs w:val="24"/>
        </w:rPr>
      </w:pPr>
      <w:r w:rsidRPr="00750571">
        <w:rPr>
          <w:sz w:val="24"/>
          <w:szCs w:val="24"/>
        </w:rPr>
        <w:t>(a)</w:t>
      </w:r>
      <w:r w:rsidRPr="00750571">
        <w:rPr>
          <w:sz w:val="24"/>
          <w:szCs w:val="24"/>
        </w:rPr>
        <w:tab/>
        <w:t xml:space="preserve">cases for trial are disposed of or come to trial within </w:t>
      </w:r>
      <w:r>
        <w:rPr>
          <w:sz w:val="24"/>
          <w:szCs w:val="24"/>
        </w:rPr>
        <w:t>6 months</w:t>
      </w:r>
      <w:r w:rsidRPr="00750571">
        <w:rPr>
          <w:sz w:val="24"/>
          <w:szCs w:val="24"/>
        </w:rPr>
        <w:t xml:space="preserve"> after </w:t>
      </w:r>
      <w:r>
        <w:rPr>
          <w:sz w:val="24"/>
          <w:szCs w:val="24"/>
        </w:rPr>
        <w:t>first arraignment and in any event</w:t>
      </w:r>
      <w:r w:rsidRPr="00750571">
        <w:rPr>
          <w:sz w:val="24"/>
          <w:szCs w:val="24"/>
        </w:rPr>
        <w:t xml:space="preserve"> by no later than </w:t>
      </w:r>
      <w:r>
        <w:rPr>
          <w:sz w:val="24"/>
          <w:szCs w:val="24"/>
        </w:rPr>
        <w:t xml:space="preserve">12 months </w:t>
      </w:r>
      <w:r w:rsidRPr="00750571">
        <w:rPr>
          <w:sz w:val="24"/>
          <w:szCs w:val="24"/>
        </w:rPr>
        <w:t>after first arraignment; and</w:t>
      </w:r>
    </w:p>
    <w:p w14:paraId="01DE76E5" w14:textId="77777777" w:rsidR="00F936EB" w:rsidRPr="00750571" w:rsidRDefault="00F936EB" w:rsidP="00F936EB">
      <w:pPr>
        <w:pStyle w:val="Doublehangingindent"/>
        <w:jc w:val="both"/>
        <w:rPr>
          <w:sz w:val="24"/>
          <w:szCs w:val="24"/>
        </w:rPr>
      </w:pPr>
      <w:r w:rsidRPr="00750571">
        <w:rPr>
          <w:sz w:val="24"/>
          <w:szCs w:val="24"/>
        </w:rPr>
        <w:t>(b)</w:t>
      </w:r>
      <w:r w:rsidRPr="00750571">
        <w:rPr>
          <w:sz w:val="24"/>
          <w:szCs w:val="24"/>
        </w:rPr>
        <w:tab/>
        <w:t xml:space="preserve">cases committed for sentence are disposed of or sentenced within </w:t>
      </w:r>
      <w:r>
        <w:rPr>
          <w:sz w:val="24"/>
          <w:szCs w:val="24"/>
        </w:rPr>
        <w:t>4 months</w:t>
      </w:r>
      <w:r w:rsidRPr="00750571">
        <w:rPr>
          <w:sz w:val="24"/>
          <w:szCs w:val="24"/>
        </w:rPr>
        <w:t xml:space="preserve"> after first appearance in Court.</w:t>
      </w:r>
    </w:p>
    <w:p w14:paraId="36CC1294" w14:textId="77777777" w:rsidR="00F936EB" w:rsidRPr="00750571" w:rsidRDefault="00F936EB" w:rsidP="00F936EB">
      <w:pPr>
        <w:pStyle w:val="Hangindent"/>
        <w:jc w:val="both"/>
        <w:rPr>
          <w:sz w:val="24"/>
          <w:szCs w:val="24"/>
        </w:rPr>
      </w:pPr>
      <w:r>
        <w:rPr>
          <w:bCs/>
          <w:sz w:val="24"/>
          <w:szCs w:val="24"/>
        </w:rPr>
        <w:t>(2</w:t>
      </w:r>
      <w:r w:rsidRPr="00750571">
        <w:rPr>
          <w:bCs/>
          <w:sz w:val="24"/>
          <w:szCs w:val="24"/>
        </w:rPr>
        <w:t>)</w:t>
      </w:r>
      <w:r w:rsidRPr="00750571">
        <w:rPr>
          <w:sz w:val="24"/>
          <w:szCs w:val="24"/>
        </w:rPr>
        <w:tab/>
        <w:t xml:space="preserve">The system of </w:t>
      </w:r>
      <w:proofErr w:type="spellStart"/>
      <w:r w:rsidRPr="00750571">
        <w:rPr>
          <w:sz w:val="24"/>
          <w:szCs w:val="24"/>
        </w:rPr>
        <w:t>case</w:t>
      </w:r>
      <w:proofErr w:type="spellEnd"/>
      <w:r w:rsidRPr="00750571">
        <w:rPr>
          <w:sz w:val="24"/>
          <w:szCs w:val="24"/>
        </w:rPr>
        <w:t xml:space="preserve"> flow management </w:t>
      </w:r>
      <w:r>
        <w:rPr>
          <w:sz w:val="24"/>
          <w:szCs w:val="24"/>
        </w:rPr>
        <w:t xml:space="preserve">in </w:t>
      </w:r>
      <w:r w:rsidR="00A82CB4">
        <w:rPr>
          <w:sz w:val="24"/>
          <w:szCs w:val="24"/>
        </w:rPr>
        <w:t xml:space="preserve">priority </w:t>
      </w:r>
      <w:r w:rsidRPr="00750571">
        <w:rPr>
          <w:sz w:val="24"/>
          <w:szCs w:val="24"/>
        </w:rPr>
        <w:t>proceedings will be administered with the aims that—</w:t>
      </w:r>
    </w:p>
    <w:p w14:paraId="4DF183D1" w14:textId="77777777" w:rsidR="00F936EB" w:rsidRPr="00750571" w:rsidRDefault="00F936EB" w:rsidP="00F936EB">
      <w:pPr>
        <w:pStyle w:val="Doublehangingindent"/>
        <w:jc w:val="both"/>
        <w:rPr>
          <w:sz w:val="24"/>
          <w:szCs w:val="24"/>
        </w:rPr>
      </w:pPr>
      <w:r w:rsidRPr="00750571">
        <w:rPr>
          <w:sz w:val="24"/>
          <w:szCs w:val="24"/>
        </w:rPr>
        <w:lastRenderedPageBreak/>
        <w:t>(a)</w:t>
      </w:r>
      <w:r w:rsidRPr="00750571">
        <w:rPr>
          <w:sz w:val="24"/>
          <w:szCs w:val="24"/>
        </w:rPr>
        <w:tab/>
        <w:t xml:space="preserve">cases for trial are disposed of or come to trial </w:t>
      </w:r>
      <w:r>
        <w:rPr>
          <w:sz w:val="24"/>
          <w:szCs w:val="24"/>
        </w:rPr>
        <w:t xml:space="preserve">in Adelaide </w:t>
      </w:r>
      <w:r w:rsidRPr="00750571">
        <w:rPr>
          <w:sz w:val="24"/>
          <w:szCs w:val="24"/>
        </w:rPr>
        <w:t xml:space="preserve">within </w:t>
      </w:r>
      <w:r>
        <w:rPr>
          <w:sz w:val="24"/>
          <w:szCs w:val="24"/>
        </w:rPr>
        <w:t>4 months</w:t>
      </w:r>
      <w:r w:rsidRPr="00750571">
        <w:rPr>
          <w:sz w:val="24"/>
          <w:szCs w:val="24"/>
        </w:rPr>
        <w:t xml:space="preserve"> after first arraignment and</w:t>
      </w:r>
      <w:r>
        <w:rPr>
          <w:sz w:val="24"/>
          <w:szCs w:val="24"/>
        </w:rPr>
        <w:t xml:space="preserve"> in Port Augusta and Mount Gambier within 6 months </w:t>
      </w:r>
      <w:r w:rsidRPr="00750571">
        <w:rPr>
          <w:sz w:val="24"/>
          <w:szCs w:val="24"/>
        </w:rPr>
        <w:t>after first arraignment; and</w:t>
      </w:r>
    </w:p>
    <w:p w14:paraId="455AD0C7" w14:textId="77777777" w:rsidR="00F936EB" w:rsidRPr="00750571" w:rsidRDefault="00F936EB" w:rsidP="00F936EB">
      <w:pPr>
        <w:pStyle w:val="Doublehangingindent"/>
        <w:jc w:val="both"/>
        <w:rPr>
          <w:sz w:val="24"/>
          <w:szCs w:val="24"/>
        </w:rPr>
      </w:pPr>
      <w:r w:rsidRPr="00750571">
        <w:rPr>
          <w:sz w:val="24"/>
          <w:szCs w:val="24"/>
        </w:rPr>
        <w:t>(b)</w:t>
      </w:r>
      <w:r w:rsidRPr="00750571">
        <w:rPr>
          <w:sz w:val="24"/>
          <w:szCs w:val="24"/>
        </w:rPr>
        <w:tab/>
        <w:t xml:space="preserve">cases committed for sentence are disposed of or sentenced within </w:t>
      </w:r>
      <w:r>
        <w:rPr>
          <w:sz w:val="24"/>
          <w:szCs w:val="24"/>
        </w:rPr>
        <w:t>4 months</w:t>
      </w:r>
      <w:r w:rsidRPr="00750571">
        <w:rPr>
          <w:sz w:val="24"/>
          <w:szCs w:val="24"/>
        </w:rPr>
        <w:t xml:space="preserve"> after first appearance in Court.</w:t>
      </w:r>
    </w:p>
    <w:p w14:paraId="480832B1" w14:textId="77777777" w:rsidR="00F936EB" w:rsidRDefault="00F936EB" w:rsidP="00A82CB4">
      <w:pPr>
        <w:pStyle w:val="clausehead"/>
        <w:rPr>
          <w:lang w:val="en-US"/>
        </w:rPr>
      </w:pPr>
      <w:bookmarkStart w:id="66" w:name="_Toc394312640"/>
      <w:bookmarkStart w:id="67" w:name="_Toc60132403"/>
      <w:r>
        <w:rPr>
          <w:lang w:val="en-US"/>
        </w:rPr>
        <w:t>11—Listing of trials</w:t>
      </w:r>
      <w:bookmarkEnd w:id="66"/>
      <w:bookmarkEnd w:id="67"/>
    </w:p>
    <w:p w14:paraId="3966BF59" w14:textId="77777777" w:rsidR="00A82CB4" w:rsidRPr="00A82CB4" w:rsidRDefault="00A82CB4" w:rsidP="00A82CB4">
      <w:pPr>
        <w:pStyle w:val="Hangindent"/>
        <w:spacing w:before="120"/>
        <w:jc w:val="both"/>
        <w:rPr>
          <w:bCs/>
          <w:sz w:val="24"/>
          <w:szCs w:val="24"/>
        </w:rPr>
      </w:pPr>
      <w:r w:rsidRPr="00A82CB4">
        <w:rPr>
          <w:bCs/>
          <w:sz w:val="24"/>
          <w:szCs w:val="24"/>
        </w:rPr>
        <w:t>(1)</w:t>
      </w:r>
      <w:r w:rsidRPr="00A82CB4">
        <w:rPr>
          <w:bCs/>
          <w:sz w:val="24"/>
          <w:szCs w:val="24"/>
        </w:rPr>
        <w:tab/>
        <w:t xml:space="preserve">Unless there are exceptional circumstances, on a plea of not guilty the Court will give the matter a date for trial or disputed facts hearing at arraignment.   </w:t>
      </w:r>
    </w:p>
    <w:p w14:paraId="35C77ECB" w14:textId="77777777" w:rsidR="00A82CB4" w:rsidRPr="00A82CB4" w:rsidRDefault="00A82CB4" w:rsidP="00A82CB4">
      <w:pPr>
        <w:pStyle w:val="Hangindent"/>
        <w:jc w:val="both"/>
        <w:rPr>
          <w:bCs/>
          <w:sz w:val="24"/>
          <w:szCs w:val="24"/>
        </w:rPr>
      </w:pPr>
      <w:r w:rsidRPr="00A82CB4">
        <w:rPr>
          <w:bCs/>
          <w:sz w:val="24"/>
          <w:szCs w:val="24"/>
        </w:rPr>
        <w:t>(2)</w:t>
      </w:r>
      <w:r w:rsidRPr="00A82CB4">
        <w:rPr>
          <w:bCs/>
          <w:sz w:val="24"/>
          <w:szCs w:val="24"/>
        </w:rPr>
        <w:tab/>
        <w:t>In priority proceedings—</w:t>
      </w:r>
    </w:p>
    <w:p w14:paraId="4157F3D5" w14:textId="77777777" w:rsidR="00A82CB4" w:rsidRPr="00A82CB4" w:rsidRDefault="00A82CB4" w:rsidP="00A82CB4">
      <w:pPr>
        <w:pStyle w:val="Doublehangingindent"/>
        <w:jc w:val="both"/>
        <w:rPr>
          <w:sz w:val="24"/>
          <w:szCs w:val="24"/>
        </w:rPr>
      </w:pPr>
      <w:r w:rsidRPr="00A82CB4">
        <w:rPr>
          <w:sz w:val="24"/>
          <w:szCs w:val="24"/>
        </w:rPr>
        <w:t>(a)</w:t>
      </w:r>
      <w:r w:rsidRPr="00A82CB4">
        <w:rPr>
          <w:sz w:val="24"/>
          <w:szCs w:val="24"/>
        </w:rPr>
        <w:tab/>
        <w:t xml:space="preserve">if the proceeding is to be heard at Adelaide, at arraignment the Court will fix a date for trial or disputed facts hearing within 4 months after the first arraignment;  </w:t>
      </w:r>
    </w:p>
    <w:p w14:paraId="66321429" w14:textId="77777777" w:rsidR="00A82CB4" w:rsidRPr="00A82CB4" w:rsidRDefault="00A82CB4" w:rsidP="00A82CB4">
      <w:pPr>
        <w:pStyle w:val="Doublehangingindent"/>
        <w:jc w:val="both"/>
        <w:rPr>
          <w:sz w:val="24"/>
          <w:szCs w:val="24"/>
        </w:rPr>
      </w:pPr>
      <w:r w:rsidRPr="00A82CB4">
        <w:rPr>
          <w:sz w:val="24"/>
          <w:szCs w:val="24"/>
        </w:rPr>
        <w:t>(b)</w:t>
      </w:r>
      <w:r w:rsidRPr="00A82CB4">
        <w:rPr>
          <w:sz w:val="24"/>
          <w:szCs w:val="24"/>
        </w:rPr>
        <w:tab/>
        <w:t>if the proceeding is to be heard at Port Augusta or Mount Gambier, the Court will fix a date for trial or disputed facts hearing within 6 months after the first arraignment.</w:t>
      </w:r>
    </w:p>
    <w:p w14:paraId="2A3C444F" w14:textId="77777777" w:rsidR="00A82CB4" w:rsidRPr="00A82CB4" w:rsidRDefault="00A82CB4" w:rsidP="00A82CB4">
      <w:pPr>
        <w:pStyle w:val="Hangindent"/>
        <w:jc w:val="both"/>
        <w:rPr>
          <w:bCs/>
          <w:sz w:val="24"/>
          <w:szCs w:val="24"/>
        </w:rPr>
      </w:pPr>
      <w:r w:rsidRPr="00A82CB4">
        <w:rPr>
          <w:bCs/>
          <w:sz w:val="24"/>
          <w:szCs w:val="24"/>
        </w:rPr>
        <w:t>(3)</w:t>
      </w:r>
      <w:r w:rsidRPr="00A82CB4">
        <w:rPr>
          <w:bCs/>
          <w:sz w:val="24"/>
          <w:szCs w:val="24"/>
        </w:rPr>
        <w:tab/>
        <w:t>Counsel accepting a brief to appear in a priority proceeding should do so on the basis that they will be able to appear at the trial or hearing within 4 months or 6 months, as the case requires, of first arraignment.</w:t>
      </w:r>
    </w:p>
    <w:p w14:paraId="65155540" w14:textId="77777777" w:rsidR="00A82CB4" w:rsidRPr="00A82CB4" w:rsidRDefault="00A82CB4" w:rsidP="00A82CB4">
      <w:pPr>
        <w:pStyle w:val="Hangindent"/>
        <w:jc w:val="both"/>
        <w:rPr>
          <w:bCs/>
          <w:sz w:val="24"/>
          <w:szCs w:val="24"/>
        </w:rPr>
      </w:pPr>
      <w:r w:rsidRPr="00A82CB4">
        <w:rPr>
          <w:bCs/>
          <w:sz w:val="24"/>
          <w:szCs w:val="24"/>
        </w:rPr>
        <w:t>(4)</w:t>
      </w:r>
      <w:r w:rsidRPr="00A82CB4">
        <w:rPr>
          <w:bCs/>
          <w:sz w:val="24"/>
          <w:szCs w:val="24"/>
        </w:rPr>
        <w:tab/>
        <w:t>When a matter is listed for trial, the matter will be listed for a first directions hearing in accordance with rules 27 and 48(1) of the Rules so that parties can report on the status of the matter and obtain pre-trial ancillary orders of the kind described i</w:t>
      </w:r>
      <w:r>
        <w:rPr>
          <w:bCs/>
          <w:sz w:val="24"/>
          <w:szCs w:val="24"/>
        </w:rPr>
        <w:t>n rule 55 of the Rules.</w:t>
      </w:r>
    </w:p>
    <w:p w14:paraId="7E746E2F" w14:textId="77777777" w:rsidR="00F936EB" w:rsidRDefault="00F936EB" w:rsidP="00F936EB">
      <w:pPr>
        <w:spacing w:after="0" w:line="240" w:lineRule="auto"/>
        <w:rPr>
          <w:sz w:val="24"/>
          <w:szCs w:val="24"/>
        </w:rPr>
      </w:pPr>
      <w:r>
        <w:rPr>
          <w:sz w:val="24"/>
          <w:szCs w:val="24"/>
        </w:rPr>
        <w:br w:type="page"/>
      </w:r>
    </w:p>
    <w:p w14:paraId="53B3FD87" w14:textId="77777777" w:rsidR="00F936EB" w:rsidRDefault="00F936EB" w:rsidP="00F936EB">
      <w:pPr>
        <w:pStyle w:val="Chapter"/>
      </w:pPr>
      <w:bookmarkStart w:id="68" w:name="_Toc394312641"/>
      <w:bookmarkStart w:id="69" w:name="_Toc60132404"/>
      <w:r w:rsidRPr="00825EC9">
        <w:lastRenderedPageBreak/>
        <w:t>Chapter 4—Documents, service and hearings generally</w:t>
      </w:r>
      <w:bookmarkEnd w:id="68"/>
      <w:bookmarkEnd w:id="69"/>
    </w:p>
    <w:p w14:paraId="3B121902" w14:textId="77777777" w:rsidR="00F936EB" w:rsidRDefault="00F936EB" w:rsidP="00F936EB">
      <w:pPr>
        <w:pStyle w:val="Part"/>
      </w:pPr>
      <w:bookmarkStart w:id="70" w:name="_Toc394312642"/>
      <w:bookmarkStart w:id="71" w:name="_Toc60132405"/>
      <w:r w:rsidRPr="00825EC9">
        <w:t>Part 1</w:t>
      </w:r>
      <w:r w:rsidRPr="00825EC9">
        <w:rPr>
          <w:szCs w:val="34"/>
        </w:rPr>
        <w:t>—</w:t>
      </w:r>
      <w:r w:rsidRPr="00825EC9">
        <w:t>Documents</w:t>
      </w:r>
      <w:bookmarkEnd w:id="70"/>
      <w:bookmarkEnd w:id="71"/>
    </w:p>
    <w:p w14:paraId="405629F5" w14:textId="77777777" w:rsidR="00F936EB" w:rsidRPr="00D32B94" w:rsidRDefault="00F936EB" w:rsidP="00D32B94">
      <w:pPr>
        <w:pStyle w:val="clausehead"/>
        <w:spacing w:after="120"/>
        <w:rPr>
          <w:lang w:val="en-US"/>
        </w:rPr>
      </w:pPr>
      <w:bookmarkStart w:id="72" w:name="_Toc383702439"/>
      <w:bookmarkStart w:id="73" w:name="_Toc383702976"/>
      <w:bookmarkStart w:id="74" w:name="_Toc385334726"/>
      <w:bookmarkStart w:id="75" w:name="_Toc388265116"/>
      <w:bookmarkStart w:id="76" w:name="_Toc394312643"/>
      <w:bookmarkStart w:id="77" w:name="_Toc60132406"/>
      <w:r w:rsidRPr="00D32B94">
        <w:rPr>
          <w:lang w:val="en-US"/>
        </w:rPr>
        <w:t>12—Approved forms</w:t>
      </w:r>
      <w:bookmarkEnd w:id="72"/>
      <w:bookmarkEnd w:id="73"/>
      <w:bookmarkEnd w:id="74"/>
      <w:bookmarkEnd w:id="75"/>
      <w:bookmarkEnd w:id="76"/>
      <w:bookmarkEnd w:id="77"/>
    </w:p>
    <w:p w14:paraId="449479BD" w14:textId="77777777" w:rsidR="00F936EB" w:rsidRPr="0036702A" w:rsidRDefault="00F936EB" w:rsidP="00F936EB">
      <w:pPr>
        <w:pStyle w:val="Hangindent"/>
        <w:rPr>
          <w:sz w:val="24"/>
          <w:szCs w:val="24"/>
        </w:rPr>
      </w:pPr>
      <w:bookmarkStart w:id="78" w:name="_Toc383702440"/>
      <w:bookmarkStart w:id="79" w:name="_Toc383702977"/>
      <w:r w:rsidRPr="0036702A">
        <w:rPr>
          <w:sz w:val="24"/>
          <w:szCs w:val="24"/>
        </w:rPr>
        <w:t>(1)</w:t>
      </w:r>
      <w:r w:rsidRPr="0036702A">
        <w:rPr>
          <w:sz w:val="24"/>
          <w:szCs w:val="24"/>
        </w:rPr>
        <w:tab/>
        <w:t>The forms in the Schedule to these Supplementary Rules are approved forms.</w:t>
      </w:r>
    </w:p>
    <w:p w14:paraId="0F0F2A6B" w14:textId="77777777" w:rsidR="00F936EB" w:rsidRPr="0036702A" w:rsidRDefault="00F936EB" w:rsidP="00F936EB">
      <w:pPr>
        <w:pStyle w:val="Hangindent"/>
        <w:rPr>
          <w:sz w:val="24"/>
          <w:szCs w:val="24"/>
          <w:lang w:val="en-US"/>
        </w:rPr>
      </w:pPr>
      <w:r w:rsidRPr="0036702A">
        <w:rPr>
          <w:bCs/>
          <w:sz w:val="24"/>
          <w:szCs w:val="24"/>
          <w:lang w:val="en-US"/>
        </w:rPr>
        <w:t>(2)</w:t>
      </w:r>
      <w:r w:rsidRPr="0036702A">
        <w:rPr>
          <w:sz w:val="24"/>
          <w:szCs w:val="24"/>
          <w:lang w:val="en-US"/>
        </w:rPr>
        <w:tab/>
        <w:t>A proceeding heading is to be in form 1 and used on all documents in respect of which a front sheet is not required.</w:t>
      </w:r>
    </w:p>
    <w:p w14:paraId="53DB0DC8" w14:textId="77777777" w:rsidR="00F936EB" w:rsidRPr="0036702A" w:rsidRDefault="00F936EB" w:rsidP="00F936EB">
      <w:pPr>
        <w:pStyle w:val="Hangindent"/>
        <w:rPr>
          <w:sz w:val="24"/>
          <w:szCs w:val="24"/>
          <w:lang w:val="en-US"/>
        </w:rPr>
      </w:pPr>
      <w:r w:rsidRPr="0036702A">
        <w:rPr>
          <w:sz w:val="24"/>
          <w:szCs w:val="24"/>
          <w:lang w:val="en-US"/>
        </w:rPr>
        <w:t>(3)</w:t>
      </w:r>
      <w:r w:rsidRPr="0036702A">
        <w:rPr>
          <w:sz w:val="24"/>
          <w:szCs w:val="24"/>
          <w:lang w:val="en-US"/>
        </w:rPr>
        <w:tab/>
        <w:t xml:space="preserve">A front sheet is to be in form 2 and used on all documents to be filed or lodged by a party in Court. The text of the document itself is to start on a fresh page. </w:t>
      </w:r>
    </w:p>
    <w:p w14:paraId="15AC935E" w14:textId="77777777" w:rsidR="00F936EB" w:rsidRDefault="00F936EB" w:rsidP="00F936EB">
      <w:pPr>
        <w:pStyle w:val="Hangindent"/>
        <w:rPr>
          <w:sz w:val="24"/>
          <w:szCs w:val="24"/>
          <w:lang w:val="en-US"/>
        </w:rPr>
      </w:pPr>
      <w:r w:rsidRPr="0036702A">
        <w:rPr>
          <w:sz w:val="24"/>
          <w:szCs w:val="24"/>
          <w:lang w:val="en-US"/>
        </w:rPr>
        <w:t>(4)</w:t>
      </w:r>
      <w:r w:rsidRPr="0036702A">
        <w:rPr>
          <w:sz w:val="24"/>
          <w:szCs w:val="24"/>
          <w:lang w:val="en-US"/>
        </w:rPr>
        <w:tab/>
        <w:t>The Registrar may allocate an FDN to a document filed by a party in Court.</w:t>
      </w:r>
    </w:p>
    <w:p w14:paraId="06ED451D" w14:textId="77777777" w:rsidR="001B4510" w:rsidRPr="0036702A" w:rsidRDefault="001B4510" w:rsidP="001B4510">
      <w:pPr>
        <w:pStyle w:val="Hangindent"/>
        <w:rPr>
          <w:sz w:val="24"/>
          <w:szCs w:val="24"/>
          <w:lang w:val="en-US"/>
        </w:rPr>
      </w:pPr>
      <w:r w:rsidRPr="00432C31">
        <w:t>(</w:t>
      </w:r>
      <w:r w:rsidRPr="001B4510">
        <w:rPr>
          <w:sz w:val="24"/>
          <w:szCs w:val="24"/>
          <w:lang w:val="en-US"/>
        </w:rPr>
        <w:t>5)</w:t>
      </w:r>
      <w:r w:rsidRPr="001B4510">
        <w:rPr>
          <w:sz w:val="24"/>
          <w:szCs w:val="24"/>
          <w:lang w:val="en-US"/>
        </w:rPr>
        <w:tab/>
        <w:t>Where an appropriate form of delivery is provided an electronic copy of a document</w:t>
      </w:r>
      <w:r>
        <w:rPr>
          <w:sz w:val="24"/>
          <w:szCs w:val="24"/>
          <w:lang w:val="en-US"/>
        </w:rPr>
        <w:t xml:space="preserve"> </w:t>
      </w:r>
      <w:r w:rsidRPr="001B4510">
        <w:rPr>
          <w:sz w:val="24"/>
          <w:szCs w:val="24"/>
          <w:lang w:val="en-US"/>
        </w:rPr>
        <w:t>may be accepted by the Registrar as the original document.</w:t>
      </w:r>
    </w:p>
    <w:p w14:paraId="5781125F" w14:textId="77777777" w:rsidR="00F936EB" w:rsidRPr="00D32B94" w:rsidRDefault="00F936EB" w:rsidP="00D32B94">
      <w:pPr>
        <w:pStyle w:val="clausehead"/>
        <w:spacing w:after="120"/>
        <w:rPr>
          <w:lang w:val="en-US"/>
        </w:rPr>
      </w:pPr>
      <w:bookmarkStart w:id="80" w:name="_Toc385334728"/>
      <w:bookmarkStart w:id="81" w:name="_Toc388265118"/>
      <w:bookmarkStart w:id="82" w:name="_Toc394312644"/>
      <w:bookmarkStart w:id="83" w:name="_Toc60132407"/>
      <w:bookmarkEnd w:id="78"/>
      <w:bookmarkEnd w:id="79"/>
      <w:r w:rsidRPr="00D32B94">
        <w:rPr>
          <w:lang w:val="en-US"/>
        </w:rPr>
        <w:t>13—Form of document</w:t>
      </w:r>
      <w:bookmarkEnd w:id="80"/>
      <w:bookmarkEnd w:id="81"/>
      <w:r w:rsidRPr="00D32B94">
        <w:rPr>
          <w:lang w:val="en-US"/>
        </w:rPr>
        <w:t>s</w:t>
      </w:r>
      <w:bookmarkEnd w:id="82"/>
      <w:bookmarkEnd w:id="83"/>
    </w:p>
    <w:p w14:paraId="0DAAA021" w14:textId="77777777" w:rsidR="00F936EB" w:rsidRPr="0036702A" w:rsidRDefault="00F936EB" w:rsidP="00F936EB">
      <w:pPr>
        <w:pStyle w:val="Hangindent"/>
        <w:rPr>
          <w:sz w:val="24"/>
          <w:szCs w:val="24"/>
        </w:rPr>
      </w:pPr>
      <w:r w:rsidRPr="0036702A">
        <w:rPr>
          <w:sz w:val="24"/>
          <w:szCs w:val="24"/>
        </w:rPr>
        <w:t>(1)</w:t>
      </w:r>
      <w:r w:rsidRPr="0036702A">
        <w:rPr>
          <w:sz w:val="24"/>
          <w:szCs w:val="24"/>
        </w:rPr>
        <w:tab/>
        <w:t xml:space="preserve">Unless these Supplementary Rules otherwise provide or the Registrar otherwise directs, a document prepared for filing or </w:t>
      </w:r>
      <w:proofErr w:type="spellStart"/>
      <w:r w:rsidRPr="0036702A">
        <w:rPr>
          <w:sz w:val="24"/>
          <w:szCs w:val="24"/>
        </w:rPr>
        <w:t>lodgment</w:t>
      </w:r>
      <w:proofErr w:type="spellEnd"/>
      <w:r w:rsidRPr="0036702A">
        <w:rPr>
          <w:sz w:val="24"/>
          <w:szCs w:val="24"/>
        </w:rPr>
        <w:t xml:space="preserve"> in Court is to—</w:t>
      </w:r>
    </w:p>
    <w:p w14:paraId="65CDCEC1" w14:textId="77777777" w:rsidR="00F936EB" w:rsidRPr="00750571" w:rsidRDefault="00F936EB" w:rsidP="00F936EB">
      <w:pPr>
        <w:pStyle w:val="Doublehangingindent"/>
        <w:jc w:val="both"/>
        <w:rPr>
          <w:sz w:val="24"/>
          <w:szCs w:val="24"/>
          <w:lang w:val="en-GB"/>
        </w:rPr>
      </w:pPr>
      <w:r w:rsidRPr="00750571">
        <w:rPr>
          <w:sz w:val="24"/>
          <w:szCs w:val="24"/>
          <w:lang w:val="en-GB"/>
        </w:rPr>
        <w:t>(a)</w:t>
      </w:r>
      <w:r w:rsidRPr="00750571">
        <w:rPr>
          <w:sz w:val="24"/>
          <w:szCs w:val="24"/>
          <w:lang w:val="en-GB"/>
        </w:rPr>
        <w:tab/>
        <w:t>be in the English language;</w:t>
      </w:r>
    </w:p>
    <w:p w14:paraId="2381A7DE" w14:textId="77777777" w:rsidR="00F936EB" w:rsidRPr="00750571" w:rsidRDefault="00F936EB" w:rsidP="00F936EB">
      <w:pPr>
        <w:pStyle w:val="Doublehangingindent"/>
        <w:jc w:val="both"/>
        <w:rPr>
          <w:sz w:val="24"/>
          <w:szCs w:val="24"/>
          <w:lang w:val="en-GB"/>
        </w:rPr>
      </w:pPr>
      <w:r w:rsidRPr="00750571">
        <w:rPr>
          <w:sz w:val="24"/>
          <w:szCs w:val="24"/>
          <w:lang w:val="en-GB"/>
        </w:rPr>
        <w:t>(b)</w:t>
      </w:r>
      <w:r w:rsidRPr="00750571">
        <w:rPr>
          <w:sz w:val="24"/>
          <w:szCs w:val="24"/>
          <w:lang w:val="en-GB"/>
        </w:rPr>
        <w:tab/>
        <w:t>be on A4 size white bond paper;</w:t>
      </w:r>
    </w:p>
    <w:p w14:paraId="4011BCC0" w14:textId="77777777" w:rsidR="00F936EB" w:rsidRPr="00750571" w:rsidRDefault="00F936EB" w:rsidP="00F936EB">
      <w:pPr>
        <w:pStyle w:val="Doublehangingindent"/>
        <w:jc w:val="both"/>
        <w:rPr>
          <w:sz w:val="24"/>
          <w:szCs w:val="24"/>
          <w:lang w:val="en-GB"/>
        </w:rPr>
      </w:pPr>
      <w:r w:rsidRPr="00750571">
        <w:rPr>
          <w:sz w:val="24"/>
          <w:szCs w:val="24"/>
          <w:lang w:val="en-GB"/>
        </w:rPr>
        <w:t>(c)</w:t>
      </w:r>
      <w:r w:rsidRPr="00750571">
        <w:rPr>
          <w:sz w:val="24"/>
          <w:szCs w:val="24"/>
          <w:lang w:val="en-GB"/>
        </w:rPr>
        <w:tab/>
        <w:t>be paginated;</w:t>
      </w:r>
    </w:p>
    <w:p w14:paraId="0382E812" w14:textId="77777777" w:rsidR="00F936EB" w:rsidRPr="00750571" w:rsidRDefault="00F936EB" w:rsidP="00F936EB">
      <w:pPr>
        <w:pStyle w:val="Doublehangingindent"/>
        <w:jc w:val="both"/>
        <w:rPr>
          <w:sz w:val="24"/>
          <w:szCs w:val="24"/>
          <w:lang w:val="en-GB"/>
        </w:rPr>
      </w:pPr>
      <w:r w:rsidRPr="00750571">
        <w:rPr>
          <w:sz w:val="24"/>
          <w:szCs w:val="24"/>
          <w:lang w:val="en-GB"/>
        </w:rPr>
        <w:t>(d)</w:t>
      </w:r>
      <w:r w:rsidRPr="00750571">
        <w:rPr>
          <w:sz w:val="24"/>
          <w:szCs w:val="24"/>
          <w:lang w:val="en-GB"/>
        </w:rPr>
        <w:tab/>
        <w:t>be typed or printed so as</w:t>
      </w:r>
      <w:r>
        <w:rPr>
          <w:sz w:val="24"/>
          <w:szCs w:val="24"/>
          <w:lang w:val="en-GB"/>
        </w:rPr>
        <w:t xml:space="preserve"> to be completely legible in no</w:t>
      </w:r>
      <w:r w:rsidRPr="00750571">
        <w:rPr>
          <w:sz w:val="24"/>
          <w:szCs w:val="24"/>
          <w:lang w:val="en-GB"/>
        </w:rPr>
        <w:t xml:space="preserve"> less than size 12 font except for quotations and footnotes which may be in size 10 font;</w:t>
      </w:r>
    </w:p>
    <w:p w14:paraId="500DB79B" w14:textId="77777777" w:rsidR="00F936EB" w:rsidRPr="00750571" w:rsidRDefault="00F936EB" w:rsidP="00F936EB">
      <w:pPr>
        <w:pStyle w:val="Doublehangingindent"/>
        <w:jc w:val="both"/>
        <w:rPr>
          <w:sz w:val="24"/>
          <w:szCs w:val="24"/>
          <w:lang w:val="en-GB"/>
        </w:rPr>
      </w:pPr>
      <w:r w:rsidRPr="00750571">
        <w:rPr>
          <w:sz w:val="24"/>
          <w:szCs w:val="24"/>
          <w:lang w:val="en-GB"/>
        </w:rPr>
        <w:t>(e)</w:t>
      </w:r>
      <w:r w:rsidRPr="00750571">
        <w:rPr>
          <w:sz w:val="24"/>
          <w:szCs w:val="24"/>
          <w:lang w:val="en-GB"/>
        </w:rPr>
        <w:tab/>
        <w:t>have margins of 4 centimetres to the left and 2 centimetres to the right;</w:t>
      </w:r>
    </w:p>
    <w:p w14:paraId="39499092" w14:textId="77777777" w:rsidR="00F936EB" w:rsidRPr="00750571" w:rsidRDefault="00F936EB" w:rsidP="00F936EB">
      <w:pPr>
        <w:pStyle w:val="Doublehangingindent"/>
        <w:jc w:val="both"/>
        <w:rPr>
          <w:sz w:val="24"/>
          <w:szCs w:val="24"/>
          <w:lang w:val="en-GB"/>
        </w:rPr>
      </w:pPr>
      <w:r w:rsidRPr="00750571">
        <w:rPr>
          <w:sz w:val="24"/>
          <w:szCs w:val="24"/>
          <w:lang w:val="en-GB"/>
        </w:rPr>
        <w:t>(f)</w:t>
      </w:r>
      <w:r w:rsidRPr="00750571">
        <w:rPr>
          <w:sz w:val="24"/>
          <w:szCs w:val="24"/>
          <w:lang w:val="en-GB"/>
        </w:rPr>
        <w:tab/>
        <w:t xml:space="preserve">have </w:t>
      </w:r>
      <w:r>
        <w:rPr>
          <w:sz w:val="24"/>
          <w:szCs w:val="24"/>
          <w:lang w:val="en-GB"/>
        </w:rPr>
        <w:t xml:space="preserve">one and a half </w:t>
      </w:r>
      <w:r w:rsidRPr="00750571">
        <w:rPr>
          <w:sz w:val="24"/>
          <w:szCs w:val="24"/>
          <w:lang w:val="en-GB"/>
        </w:rPr>
        <w:t>spacing between lines (unless the document is to be settled by the Court, in which case double spacing is to be used);</w:t>
      </w:r>
    </w:p>
    <w:p w14:paraId="563C1405" w14:textId="77777777" w:rsidR="00F936EB" w:rsidRPr="00750571" w:rsidRDefault="00F936EB" w:rsidP="00F936EB">
      <w:pPr>
        <w:pStyle w:val="Doublehangingindent"/>
        <w:jc w:val="both"/>
        <w:rPr>
          <w:sz w:val="24"/>
          <w:szCs w:val="24"/>
          <w:lang w:val="en-GB"/>
        </w:rPr>
      </w:pPr>
      <w:r w:rsidRPr="00750571">
        <w:rPr>
          <w:sz w:val="24"/>
          <w:szCs w:val="24"/>
          <w:lang w:val="en-GB"/>
        </w:rPr>
        <w:t>(g)</w:t>
      </w:r>
      <w:r w:rsidRPr="00750571">
        <w:rPr>
          <w:sz w:val="24"/>
          <w:szCs w:val="24"/>
          <w:lang w:val="en-GB"/>
        </w:rPr>
        <w:tab/>
        <w:t>have double spacing between paragraphs;</w:t>
      </w:r>
    </w:p>
    <w:p w14:paraId="59D8DBA2" w14:textId="77777777" w:rsidR="00F936EB" w:rsidRPr="00750571" w:rsidRDefault="00F936EB" w:rsidP="00F936EB">
      <w:pPr>
        <w:pStyle w:val="Doublehangingindent"/>
        <w:jc w:val="both"/>
        <w:rPr>
          <w:sz w:val="24"/>
          <w:szCs w:val="24"/>
          <w:lang w:val="en-GB"/>
        </w:rPr>
      </w:pPr>
      <w:r w:rsidRPr="00750571">
        <w:rPr>
          <w:sz w:val="24"/>
          <w:szCs w:val="24"/>
          <w:lang w:val="en-GB"/>
        </w:rPr>
        <w:t>(h)</w:t>
      </w:r>
      <w:r w:rsidRPr="00750571">
        <w:rPr>
          <w:sz w:val="24"/>
          <w:szCs w:val="24"/>
          <w:lang w:val="en-GB"/>
        </w:rPr>
        <w:tab/>
        <w:t>have figures and amounts of money expressed in numerals and not in words; and</w:t>
      </w:r>
    </w:p>
    <w:p w14:paraId="6F6EAB31" w14:textId="77777777" w:rsidR="00F936EB" w:rsidRPr="00750571" w:rsidRDefault="00F936EB" w:rsidP="00F936EB">
      <w:pPr>
        <w:pStyle w:val="Doublehangingindent"/>
        <w:jc w:val="both"/>
        <w:rPr>
          <w:sz w:val="24"/>
          <w:szCs w:val="24"/>
          <w:lang w:val="en-GB"/>
        </w:rPr>
      </w:pPr>
      <w:r w:rsidRPr="00750571">
        <w:rPr>
          <w:sz w:val="24"/>
          <w:szCs w:val="24"/>
          <w:lang w:val="en-GB"/>
        </w:rPr>
        <w:t>(</w:t>
      </w:r>
      <w:proofErr w:type="spellStart"/>
      <w:r w:rsidRPr="00750571">
        <w:rPr>
          <w:sz w:val="24"/>
          <w:szCs w:val="24"/>
          <w:lang w:val="en-GB"/>
        </w:rPr>
        <w:t>i</w:t>
      </w:r>
      <w:proofErr w:type="spellEnd"/>
      <w:r w:rsidRPr="00750571">
        <w:rPr>
          <w:sz w:val="24"/>
          <w:szCs w:val="24"/>
          <w:lang w:val="en-GB"/>
        </w:rPr>
        <w:t>)</w:t>
      </w:r>
      <w:r w:rsidRPr="00750571">
        <w:rPr>
          <w:sz w:val="24"/>
          <w:szCs w:val="24"/>
          <w:lang w:val="en-GB"/>
        </w:rPr>
        <w:tab/>
        <w:t xml:space="preserve">have </w:t>
      </w:r>
      <w:r>
        <w:rPr>
          <w:sz w:val="24"/>
          <w:szCs w:val="24"/>
          <w:lang w:val="en-GB"/>
        </w:rPr>
        <w:t>any</w:t>
      </w:r>
      <w:r w:rsidRPr="00750571">
        <w:rPr>
          <w:sz w:val="24"/>
          <w:szCs w:val="24"/>
          <w:lang w:val="en-GB"/>
        </w:rPr>
        <w:t xml:space="preserve"> erasures or handwritten additions authenticated.</w:t>
      </w:r>
    </w:p>
    <w:p w14:paraId="03AA72BC" w14:textId="77777777" w:rsidR="00F936EB" w:rsidRPr="00750571" w:rsidRDefault="00F936EB" w:rsidP="00F936EB">
      <w:pPr>
        <w:pStyle w:val="Hangindent"/>
        <w:spacing w:before="120"/>
        <w:ind w:left="1440" w:hanging="570"/>
        <w:jc w:val="both"/>
        <w:rPr>
          <w:sz w:val="24"/>
          <w:szCs w:val="24"/>
          <w:lang w:val="en-GB"/>
        </w:rPr>
      </w:pPr>
      <w:r w:rsidRPr="00750571">
        <w:rPr>
          <w:sz w:val="24"/>
          <w:szCs w:val="24"/>
          <w:lang w:val="en-GB"/>
        </w:rPr>
        <w:t>(2)</w:t>
      </w:r>
      <w:r w:rsidRPr="00750571">
        <w:rPr>
          <w:sz w:val="24"/>
          <w:szCs w:val="24"/>
          <w:lang w:val="en-GB"/>
        </w:rPr>
        <w:tab/>
        <w:t>Unless the Court otherwise directs, a document prepared for filing or lodging in Court is to be typed or printed—</w:t>
      </w:r>
    </w:p>
    <w:p w14:paraId="3D005A8F" w14:textId="77777777" w:rsidR="00F936EB" w:rsidRPr="00750571" w:rsidRDefault="00F936EB" w:rsidP="00F936EB">
      <w:pPr>
        <w:pStyle w:val="Doublehangingindent"/>
        <w:jc w:val="both"/>
        <w:rPr>
          <w:sz w:val="24"/>
          <w:szCs w:val="24"/>
          <w:lang w:val="en-GB"/>
        </w:rPr>
      </w:pPr>
      <w:r w:rsidRPr="00750571">
        <w:rPr>
          <w:sz w:val="24"/>
          <w:szCs w:val="24"/>
          <w:lang w:val="en-GB"/>
        </w:rPr>
        <w:t>(a)</w:t>
      </w:r>
      <w:r w:rsidRPr="00750571">
        <w:rPr>
          <w:sz w:val="24"/>
          <w:szCs w:val="24"/>
          <w:lang w:val="en-GB"/>
        </w:rPr>
        <w:tab/>
        <w:t xml:space="preserve">on a single side of the page if </w:t>
      </w:r>
      <w:r>
        <w:rPr>
          <w:sz w:val="24"/>
          <w:szCs w:val="24"/>
          <w:lang w:val="en-GB"/>
        </w:rPr>
        <w:t xml:space="preserve">it is </w:t>
      </w:r>
      <w:r w:rsidRPr="00750571">
        <w:rPr>
          <w:sz w:val="24"/>
          <w:szCs w:val="24"/>
          <w:lang w:val="en-GB"/>
        </w:rPr>
        <w:t>an original affidavit or statutory declaration (including the exhibits to an affidavit or annexures to a statutory declaration);</w:t>
      </w:r>
      <w:r>
        <w:rPr>
          <w:sz w:val="24"/>
          <w:szCs w:val="24"/>
          <w:lang w:val="en-GB"/>
        </w:rPr>
        <w:t xml:space="preserve"> and</w:t>
      </w:r>
    </w:p>
    <w:p w14:paraId="519EE5A2" w14:textId="77777777" w:rsidR="00F936EB" w:rsidRPr="00750571" w:rsidRDefault="00F936EB" w:rsidP="00F936EB">
      <w:pPr>
        <w:pStyle w:val="Doublehangingindent"/>
        <w:jc w:val="both"/>
        <w:rPr>
          <w:sz w:val="24"/>
          <w:szCs w:val="24"/>
          <w:lang w:val="en-GB"/>
        </w:rPr>
      </w:pPr>
      <w:r w:rsidRPr="00750571">
        <w:rPr>
          <w:sz w:val="24"/>
          <w:szCs w:val="24"/>
          <w:lang w:val="en-GB"/>
        </w:rPr>
        <w:t>(b)</w:t>
      </w:r>
      <w:r w:rsidRPr="00750571">
        <w:rPr>
          <w:sz w:val="24"/>
          <w:szCs w:val="24"/>
          <w:lang w:val="en-GB"/>
        </w:rPr>
        <w:tab/>
      </w:r>
      <w:r>
        <w:rPr>
          <w:sz w:val="24"/>
          <w:szCs w:val="24"/>
          <w:lang w:val="en-GB"/>
        </w:rPr>
        <w:t xml:space="preserve">otherwise </w:t>
      </w:r>
      <w:r w:rsidRPr="00750571">
        <w:rPr>
          <w:sz w:val="24"/>
          <w:szCs w:val="24"/>
          <w:lang w:val="en-GB"/>
        </w:rPr>
        <w:t xml:space="preserve">on both sides of the page if </w:t>
      </w:r>
      <w:r>
        <w:rPr>
          <w:sz w:val="24"/>
          <w:szCs w:val="24"/>
          <w:lang w:val="en-GB"/>
        </w:rPr>
        <w:t xml:space="preserve">it is </w:t>
      </w:r>
      <w:r w:rsidRPr="00750571">
        <w:rPr>
          <w:sz w:val="24"/>
          <w:szCs w:val="24"/>
          <w:lang w:val="en-GB"/>
        </w:rPr>
        <w:t>any other document.</w:t>
      </w:r>
    </w:p>
    <w:p w14:paraId="57DC4ED8" w14:textId="77777777" w:rsidR="00F936EB" w:rsidRPr="001653E2" w:rsidRDefault="00F936EB" w:rsidP="00F936EB">
      <w:pPr>
        <w:pStyle w:val="Hangindent"/>
        <w:rPr>
          <w:sz w:val="24"/>
          <w:szCs w:val="24"/>
        </w:rPr>
      </w:pPr>
      <w:r w:rsidRPr="001653E2">
        <w:rPr>
          <w:sz w:val="24"/>
          <w:szCs w:val="24"/>
        </w:rPr>
        <w:t>(3)</w:t>
      </w:r>
      <w:r w:rsidRPr="001653E2">
        <w:rPr>
          <w:sz w:val="24"/>
          <w:szCs w:val="24"/>
        </w:rPr>
        <w:tab/>
        <w:t>If the Registrar is satisfied that a self-represented litigant is unable to comply with one or more of the above requirements, the Registrar may accept a document for filing, provided that it is legible and able to be filed conveniently.</w:t>
      </w:r>
    </w:p>
    <w:p w14:paraId="39C989E3" w14:textId="77777777" w:rsidR="00F936EB" w:rsidRPr="001653E2" w:rsidRDefault="00F936EB" w:rsidP="00F936EB">
      <w:pPr>
        <w:pStyle w:val="Hangindent"/>
        <w:rPr>
          <w:sz w:val="24"/>
          <w:szCs w:val="24"/>
        </w:rPr>
      </w:pPr>
      <w:r w:rsidRPr="001653E2">
        <w:rPr>
          <w:sz w:val="24"/>
          <w:szCs w:val="24"/>
        </w:rPr>
        <w:t>(4)</w:t>
      </w:r>
      <w:r w:rsidRPr="001653E2">
        <w:rPr>
          <w:sz w:val="24"/>
          <w:szCs w:val="24"/>
        </w:rPr>
        <w:tab/>
        <w:t>When there is substantial non-compliance with this supplementary rule, the Registrar may refuse to accept a document for filing.</w:t>
      </w:r>
    </w:p>
    <w:p w14:paraId="03BBA601" w14:textId="77777777" w:rsidR="00F936EB" w:rsidRDefault="00F936EB" w:rsidP="00D32B94">
      <w:pPr>
        <w:pStyle w:val="clausehead"/>
        <w:spacing w:after="120"/>
        <w:rPr>
          <w:lang w:val="en-US"/>
        </w:rPr>
      </w:pPr>
      <w:bookmarkStart w:id="84" w:name="_Toc394312645"/>
      <w:bookmarkStart w:id="85" w:name="_Toc60132408"/>
      <w:bookmarkStart w:id="86" w:name="_Toc385334730"/>
      <w:bookmarkStart w:id="87" w:name="_Toc388265120"/>
      <w:r>
        <w:rPr>
          <w:lang w:val="en-US"/>
        </w:rPr>
        <w:lastRenderedPageBreak/>
        <w:t>14—</w:t>
      </w:r>
      <w:r w:rsidRPr="00D32B94">
        <w:rPr>
          <w:lang w:val="en-US"/>
        </w:rPr>
        <w:t xml:space="preserve">Original of </w:t>
      </w:r>
      <w:r>
        <w:rPr>
          <w:lang w:val="en-US"/>
        </w:rPr>
        <w:t>affidavit</w:t>
      </w:r>
      <w:bookmarkEnd w:id="84"/>
      <w:bookmarkEnd w:id="85"/>
    </w:p>
    <w:p w14:paraId="50DC345A" w14:textId="77777777" w:rsidR="00F936EB" w:rsidRPr="0036702A" w:rsidRDefault="00F936EB" w:rsidP="00F936EB">
      <w:pPr>
        <w:pStyle w:val="Hangindent"/>
        <w:rPr>
          <w:sz w:val="24"/>
          <w:szCs w:val="24"/>
        </w:rPr>
      </w:pPr>
      <w:r w:rsidRPr="0036702A">
        <w:rPr>
          <w:sz w:val="24"/>
          <w:szCs w:val="24"/>
        </w:rPr>
        <w:t>(1)</w:t>
      </w:r>
      <w:r w:rsidRPr="0036702A">
        <w:rPr>
          <w:sz w:val="24"/>
          <w:szCs w:val="24"/>
        </w:rPr>
        <w:tab/>
        <w:t xml:space="preserve">An affidavit filed or produced in Court is to be an original bearing the original signature of the deponent and not a copy. A lawyer or self-represented party lodging or producing an affidavit to the Court impliedly undertakes to the Court that the signatures on the documents are originals and not copies. </w:t>
      </w:r>
    </w:p>
    <w:p w14:paraId="2AD13F2E" w14:textId="77777777" w:rsidR="00F936EB" w:rsidRPr="0036702A" w:rsidRDefault="00F936EB" w:rsidP="00F936EB">
      <w:pPr>
        <w:pStyle w:val="Hangindent"/>
        <w:rPr>
          <w:sz w:val="24"/>
          <w:szCs w:val="24"/>
        </w:rPr>
      </w:pPr>
      <w:r w:rsidRPr="0036702A">
        <w:rPr>
          <w:sz w:val="24"/>
          <w:szCs w:val="24"/>
        </w:rPr>
        <w:t>(2)</w:t>
      </w:r>
      <w:r w:rsidRPr="0036702A">
        <w:rPr>
          <w:sz w:val="24"/>
          <w:szCs w:val="24"/>
        </w:rPr>
        <w:tab/>
        <w:t>In a case of urgency when it is impracticable for a lawyer to obtain the original of the affidavit before a hearing, the lawyer may swear an affidavit exhibiting a copy of that affidavit. A lawyer swearing such an affidavit impliedly undertakes to the Court that the lawyer will file the original of the affidavit immediately upon receipt.</w:t>
      </w:r>
    </w:p>
    <w:p w14:paraId="3871A36D" w14:textId="77777777" w:rsidR="00F936EB" w:rsidRPr="00D32B94" w:rsidRDefault="00F936EB" w:rsidP="00D32B94">
      <w:pPr>
        <w:pStyle w:val="clausehead"/>
        <w:spacing w:after="120"/>
        <w:rPr>
          <w:lang w:val="en-US"/>
        </w:rPr>
      </w:pPr>
      <w:bookmarkStart w:id="88" w:name="_Toc385334731"/>
      <w:bookmarkStart w:id="89" w:name="_Toc388265121"/>
      <w:bookmarkStart w:id="90" w:name="_Toc394312646"/>
      <w:bookmarkStart w:id="91" w:name="_Toc60132409"/>
      <w:bookmarkEnd w:id="86"/>
      <w:bookmarkEnd w:id="87"/>
      <w:r w:rsidRPr="00D32B94">
        <w:rPr>
          <w:lang w:val="en-US"/>
        </w:rPr>
        <w:t>15—Form of affidavit</w:t>
      </w:r>
      <w:bookmarkEnd w:id="88"/>
      <w:bookmarkEnd w:id="89"/>
      <w:bookmarkEnd w:id="90"/>
      <w:bookmarkEnd w:id="91"/>
    </w:p>
    <w:p w14:paraId="7A974CA8" w14:textId="77777777" w:rsidR="00F936EB" w:rsidRPr="0036702A" w:rsidRDefault="00F936EB" w:rsidP="00F936EB">
      <w:pPr>
        <w:pStyle w:val="Hangindent"/>
        <w:rPr>
          <w:sz w:val="24"/>
          <w:szCs w:val="24"/>
        </w:rPr>
      </w:pPr>
      <w:bookmarkStart w:id="92" w:name="_Toc383702442"/>
      <w:bookmarkStart w:id="93" w:name="_Toc383702979"/>
      <w:r w:rsidRPr="0036702A">
        <w:rPr>
          <w:sz w:val="24"/>
          <w:szCs w:val="24"/>
        </w:rPr>
        <w:t>(1)</w:t>
      </w:r>
      <w:r w:rsidRPr="0036702A">
        <w:rPr>
          <w:sz w:val="24"/>
          <w:szCs w:val="24"/>
        </w:rPr>
        <w:tab/>
        <w:t xml:space="preserve">An affidavit is to state that the deponent is speaking of his or her own knowledge except when a statement is made in accordance with paragraph (2).  </w:t>
      </w:r>
    </w:p>
    <w:p w14:paraId="1964D4DA" w14:textId="77777777" w:rsidR="00F936EB" w:rsidRPr="0036702A" w:rsidRDefault="00F936EB" w:rsidP="00F936EB">
      <w:pPr>
        <w:pStyle w:val="Hangindent"/>
        <w:rPr>
          <w:sz w:val="24"/>
          <w:szCs w:val="24"/>
        </w:rPr>
      </w:pPr>
      <w:r w:rsidRPr="0036702A">
        <w:rPr>
          <w:sz w:val="24"/>
          <w:szCs w:val="24"/>
        </w:rPr>
        <w:t>(2)</w:t>
      </w:r>
      <w:r w:rsidRPr="0036702A">
        <w:rPr>
          <w:sz w:val="24"/>
          <w:szCs w:val="24"/>
        </w:rPr>
        <w:tab/>
        <w:t xml:space="preserve">An affidavit made for the purpose of an application or hearing other than the trial or final hearing of a criminal proceeding or with the Court’s permission may contain statements that the witness honestly believes to be true if the witness also states the source and grounds of the belief. </w:t>
      </w:r>
    </w:p>
    <w:p w14:paraId="4C466093" w14:textId="77777777" w:rsidR="00F936EB" w:rsidRDefault="00F936EB" w:rsidP="005D5D4F">
      <w:pPr>
        <w:autoSpaceDE w:val="0"/>
        <w:autoSpaceDN w:val="0"/>
        <w:adjustRightInd w:val="0"/>
        <w:spacing w:before="120" w:after="120"/>
        <w:ind w:left="1588" w:hanging="170"/>
        <w:jc w:val="both"/>
        <w:rPr>
          <w:b/>
          <w:bCs/>
          <w:color w:val="000000"/>
          <w:sz w:val="20"/>
          <w:szCs w:val="20"/>
        </w:rPr>
      </w:pPr>
      <w:r w:rsidRPr="00AB645F">
        <w:rPr>
          <w:b/>
          <w:bCs/>
          <w:color w:val="000000"/>
          <w:sz w:val="20"/>
          <w:szCs w:val="20"/>
        </w:rPr>
        <w:t>Note—</w:t>
      </w:r>
    </w:p>
    <w:p w14:paraId="42F3B5C7" w14:textId="77777777" w:rsidR="00F936EB" w:rsidRPr="003B1D49" w:rsidRDefault="00F936EB" w:rsidP="00F936EB">
      <w:pPr>
        <w:autoSpaceDE w:val="0"/>
        <w:autoSpaceDN w:val="0"/>
        <w:adjustRightInd w:val="0"/>
        <w:spacing w:before="120" w:line="240" w:lineRule="auto"/>
        <w:ind w:left="2160"/>
        <w:jc w:val="both"/>
        <w:rPr>
          <w:color w:val="000000"/>
          <w:sz w:val="20"/>
          <w:szCs w:val="20"/>
        </w:rPr>
      </w:pPr>
      <w:r w:rsidRPr="00A30D51">
        <w:rPr>
          <w:color w:val="000000"/>
          <w:sz w:val="20"/>
          <w:szCs w:val="20"/>
        </w:rPr>
        <w:t xml:space="preserve">A statement to the effect, “I know the facts deposed herein from my own knowledge except where otherwise appears”, without properly identifying the sources and </w:t>
      </w:r>
      <w:r w:rsidRPr="003B1D49">
        <w:rPr>
          <w:color w:val="000000"/>
          <w:sz w:val="20"/>
          <w:szCs w:val="20"/>
        </w:rPr>
        <w:t xml:space="preserve">grounds of information and belief, is unacceptable. </w:t>
      </w:r>
    </w:p>
    <w:p w14:paraId="1A916CFC" w14:textId="77777777" w:rsidR="00F936EB" w:rsidRPr="00750571" w:rsidRDefault="00F936EB" w:rsidP="00F936EB">
      <w:pPr>
        <w:pStyle w:val="Hangindent"/>
        <w:spacing w:before="120"/>
        <w:jc w:val="both"/>
        <w:rPr>
          <w:sz w:val="24"/>
          <w:szCs w:val="24"/>
          <w:lang w:val="en-GB"/>
        </w:rPr>
      </w:pPr>
      <w:r w:rsidRPr="00750571">
        <w:rPr>
          <w:sz w:val="24"/>
          <w:szCs w:val="24"/>
          <w:lang w:val="en-GB"/>
        </w:rPr>
        <w:t>(3)</w:t>
      </w:r>
      <w:r w:rsidRPr="00750571">
        <w:rPr>
          <w:sz w:val="24"/>
          <w:szCs w:val="24"/>
          <w:lang w:val="en-GB"/>
        </w:rPr>
        <w:tab/>
        <w:t>The address of a deponent in an affidavit may be a business address provided it is a place where the deponent may usually be found during normal working hours.</w:t>
      </w:r>
    </w:p>
    <w:p w14:paraId="580EC348" w14:textId="77777777" w:rsidR="00F936EB" w:rsidRPr="00750571" w:rsidRDefault="00F936EB" w:rsidP="00F936EB">
      <w:pPr>
        <w:pStyle w:val="Hangindent"/>
        <w:spacing w:before="120"/>
        <w:jc w:val="both"/>
        <w:rPr>
          <w:sz w:val="24"/>
          <w:szCs w:val="24"/>
          <w:lang w:val="en-GB"/>
        </w:rPr>
      </w:pPr>
      <w:r w:rsidRPr="00750571">
        <w:rPr>
          <w:sz w:val="24"/>
          <w:szCs w:val="24"/>
          <w:lang w:val="en-GB"/>
        </w:rPr>
        <w:t>(4)</w:t>
      </w:r>
      <w:r w:rsidRPr="00750571">
        <w:rPr>
          <w:sz w:val="24"/>
          <w:szCs w:val="24"/>
          <w:lang w:val="en-GB"/>
        </w:rPr>
        <w:tab/>
        <w:t>Each page of an affidavit is to be signed by the deponent and the witness and dated.</w:t>
      </w:r>
    </w:p>
    <w:p w14:paraId="496682CA" w14:textId="77777777" w:rsidR="00F936EB" w:rsidRPr="00D32B94" w:rsidRDefault="00F936EB" w:rsidP="00D32B94">
      <w:pPr>
        <w:pStyle w:val="clausehead"/>
        <w:spacing w:after="120"/>
        <w:rPr>
          <w:lang w:val="en-US"/>
        </w:rPr>
      </w:pPr>
      <w:bookmarkStart w:id="94" w:name="_Toc385334732"/>
      <w:bookmarkStart w:id="95" w:name="_Toc388265122"/>
      <w:bookmarkStart w:id="96" w:name="_Toc394312647"/>
      <w:bookmarkStart w:id="97" w:name="_Toc60132410"/>
      <w:r w:rsidRPr="00D32B94">
        <w:rPr>
          <w:lang w:val="en-US"/>
        </w:rPr>
        <w:t>16—Exhibits to affidavit</w:t>
      </w:r>
      <w:bookmarkEnd w:id="94"/>
      <w:bookmarkEnd w:id="95"/>
      <w:bookmarkEnd w:id="96"/>
      <w:bookmarkEnd w:id="97"/>
    </w:p>
    <w:p w14:paraId="7CB44CDB"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An affidavit (including an affidavit of service) that refer</w:t>
      </w:r>
      <w:r>
        <w:rPr>
          <w:sz w:val="24"/>
          <w:szCs w:val="24"/>
        </w:rPr>
        <w:t>s to a document already on the court file or part of the c</w:t>
      </w:r>
      <w:r w:rsidRPr="0036702A">
        <w:rPr>
          <w:sz w:val="24"/>
          <w:szCs w:val="24"/>
        </w:rPr>
        <w:t xml:space="preserve">ourt record in a proceeding or a related proceeding is not to exhibit that document but is to describe the document by reference to its FDN when applicable and proceeding number or another indication </w:t>
      </w:r>
      <w:r>
        <w:rPr>
          <w:sz w:val="24"/>
          <w:szCs w:val="24"/>
        </w:rPr>
        <w:t>where it is to be found on the c</w:t>
      </w:r>
      <w:r w:rsidRPr="0036702A">
        <w:rPr>
          <w:sz w:val="24"/>
          <w:szCs w:val="24"/>
        </w:rPr>
        <w:t>ourt file.  The object of this supplementary rule is that a documen</w:t>
      </w:r>
      <w:r>
        <w:rPr>
          <w:sz w:val="24"/>
          <w:szCs w:val="24"/>
        </w:rPr>
        <w:t>t should appear only once on a court file or set of related c</w:t>
      </w:r>
      <w:r w:rsidRPr="0036702A">
        <w:rPr>
          <w:sz w:val="24"/>
          <w:szCs w:val="24"/>
        </w:rPr>
        <w:t>ourt files.</w:t>
      </w:r>
    </w:p>
    <w:p w14:paraId="2BF566B8" w14:textId="77777777" w:rsidR="00F936EB" w:rsidRPr="0036702A" w:rsidRDefault="00F936EB" w:rsidP="00F936EB">
      <w:pPr>
        <w:pStyle w:val="Hangindent"/>
        <w:rPr>
          <w:sz w:val="24"/>
          <w:szCs w:val="24"/>
        </w:rPr>
      </w:pPr>
      <w:r w:rsidRPr="0036702A">
        <w:rPr>
          <w:sz w:val="24"/>
          <w:szCs w:val="24"/>
        </w:rPr>
        <w:t>(2)</w:t>
      </w:r>
      <w:r w:rsidRPr="0036702A">
        <w:rPr>
          <w:sz w:val="24"/>
          <w:szCs w:val="24"/>
        </w:rPr>
        <w:tab/>
        <w:t>Unless a lawyer forms the view that there is good reason not to, documents comprising a sequence of correspondence between the same or related persons and other documents comprising a sequence of a similar kind are to be made a single exhibit instead of being marked as separate exhibits.</w:t>
      </w:r>
    </w:p>
    <w:p w14:paraId="00726FBF" w14:textId="77777777" w:rsidR="00F936EB" w:rsidRPr="00701067" w:rsidRDefault="00F936EB" w:rsidP="00F936EB">
      <w:pPr>
        <w:pStyle w:val="clausehead"/>
        <w:rPr>
          <w:lang w:val="en-GB"/>
        </w:rPr>
      </w:pPr>
      <w:bookmarkStart w:id="98" w:name="_Toc385334733"/>
      <w:bookmarkStart w:id="99" w:name="_Toc388265123"/>
      <w:bookmarkStart w:id="100" w:name="_Toc394312648"/>
      <w:bookmarkStart w:id="101" w:name="_Toc60132411"/>
      <w:r>
        <w:rPr>
          <w:lang w:val="en-GB"/>
        </w:rPr>
        <w:t>17—Binding of affidavit</w:t>
      </w:r>
      <w:r w:rsidRPr="00701067">
        <w:rPr>
          <w:lang w:val="en-GB"/>
        </w:rPr>
        <w:t xml:space="preserve"> and exhibits</w:t>
      </w:r>
      <w:bookmarkEnd w:id="98"/>
      <w:bookmarkEnd w:id="99"/>
      <w:bookmarkEnd w:id="100"/>
      <w:bookmarkEnd w:id="101"/>
    </w:p>
    <w:p w14:paraId="4135B021" w14:textId="77777777" w:rsidR="00F936EB" w:rsidRPr="00F20345" w:rsidRDefault="00F936EB" w:rsidP="00F936EB">
      <w:pPr>
        <w:pStyle w:val="Hangindent"/>
        <w:spacing w:before="120"/>
        <w:jc w:val="both"/>
        <w:rPr>
          <w:sz w:val="24"/>
        </w:rPr>
      </w:pPr>
      <w:bookmarkStart w:id="102" w:name="_Toc385334734"/>
      <w:bookmarkStart w:id="103" w:name="_Toc388265124"/>
      <w:bookmarkStart w:id="104" w:name="_Toc394312649"/>
      <w:r w:rsidRPr="00F20345">
        <w:rPr>
          <w:sz w:val="24"/>
          <w:lang w:val="en-GB"/>
        </w:rPr>
        <w:t>(1)</w:t>
      </w:r>
      <w:r w:rsidRPr="00F20345">
        <w:rPr>
          <w:sz w:val="24"/>
          <w:lang w:val="en-GB"/>
        </w:rPr>
        <w:tab/>
      </w:r>
      <w:r w:rsidRPr="00F20345">
        <w:rPr>
          <w:sz w:val="24"/>
        </w:rPr>
        <w:t>If an affidavit with exhibits—</w:t>
      </w:r>
    </w:p>
    <w:p w14:paraId="43B2AF3E" w14:textId="77777777" w:rsidR="00F936EB" w:rsidRPr="00F20345" w:rsidRDefault="00F936EB" w:rsidP="00F936EB">
      <w:pPr>
        <w:pStyle w:val="Doublehangingindent"/>
        <w:jc w:val="both"/>
        <w:rPr>
          <w:sz w:val="24"/>
        </w:rPr>
      </w:pPr>
      <w:r w:rsidRPr="00F20345">
        <w:rPr>
          <w:sz w:val="24"/>
        </w:rPr>
        <w:t>(a)</w:t>
      </w:r>
      <w:r w:rsidRPr="00F20345">
        <w:rPr>
          <w:sz w:val="24"/>
        </w:rPr>
        <w:tab/>
        <w:t>comprises 50 or more pages (including the body of the affidavit and its exhibits but excluding front sheets); or</w:t>
      </w:r>
    </w:p>
    <w:p w14:paraId="38F9A6E1" w14:textId="77777777" w:rsidR="00F936EB" w:rsidRPr="00F20345" w:rsidRDefault="00F936EB" w:rsidP="00CA0FEC">
      <w:pPr>
        <w:pStyle w:val="Doublehangingindent"/>
        <w:keepNext/>
        <w:keepLines/>
        <w:jc w:val="both"/>
        <w:rPr>
          <w:sz w:val="24"/>
        </w:rPr>
      </w:pPr>
      <w:r w:rsidRPr="00F20345">
        <w:rPr>
          <w:sz w:val="24"/>
        </w:rPr>
        <w:lastRenderedPageBreak/>
        <w:t>(b)</w:t>
      </w:r>
      <w:r w:rsidRPr="00F20345">
        <w:rPr>
          <w:sz w:val="24"/>
        </w:rPr>
        <w:tab/>
        <w:t>includes 5 or more exhibits,</w:t>
      </w:r>
    </w:p>
    <w:p w14:paraId="5C83D8E8" w14:textId="77777777" w:rsidR="00F936EB" w:rsidRPr="00F20345" w:rsidRDefault="00F936EB" w:rsidP="00CA0FEC">
      <w:pPr>
        <w:pStyle w:val="Doublehangingindent"/>
        <w:keepNext/>
        <w:keepLines/>
        <w:ind w:left="1418" w:firstLine="0"/>
        <w:jc w:val="both"/>
        <w:rPr>
          <w:sz w:val="24"/>
        </w:rPr>
      </w:pPr>
      <w:r w:rsidRPr="00F20345">
        <w:rPr>
          <w:sz w:val="24"/>
        </w:rPr>
        <w:t>the exhibits are to be bound together into a volume or volumes with or separate from the body of the affidavit.</w:t>
      </w:r>
    </w:p>
    <w:p w14:paraId="49252DF2" w14:textId="77777777" w:rsidR="00F936EB" w:rsidRPr="00F20345" w:rsidRDefault="00FA5A02" w:rsidP="00F936EB">
      <w:pPr>
        <w:pStyle w:val="Hangindent"/>
        <w:spacing w:before="120"/>
        <w:jc w:val="both"/>
        <w:rPr>
          <w:sz w:val="24"/>
          <w:lang w:val="en-GB"/>
        </w:rPr>
      </w:pPr>
      <w:r>
        <w:rPr>
          <w:sz w:val="24"/>
        </w:rPr>
        <w:t>(2)</w:t>
      </w:r>
      <w:r>
        <w:rPr>
          <w:sz w:val="24"/>
        </w:rPr>
        <w:tab/>
      </w:r>
      <w:r w:rsidR="00F936EB" w:rsidRPr="00F20345">
        <w:rPr>
          <w:sz w:val="24"/>
        </w:rPr>
        <w:t>In respect of an affidavit to which paragraph (1) applies—</w:t>
      </w:r>
    </w:p>
    <w:p w14:paraId="32608BCF" w14:textId="77777777" w:rsidR="00F936EB" w:rsidRPr="00F20345" w:rsidRDefault="00F936EB" w:rsidP="00F936EB">
      <w:pPr>
        <w:pStyle w:val="Doublehangingindent"/>
        <w:jc w:val="both"/>
        <w:rPr>
          <w:sz w:val="24"/>
        </w:rPr>
      </w:pPr>
      <w:r w:rsidRPr="00F20345">
        <w:rPr>
          <w:sz w:val="24"/>
        </w:rPr>
        <w:t>(a)</w:t>
      </w:r>
      <w:r w:rsidRPr="00F20345">
        <w:rPr>
          <w:sz w:val="24"/>
        </w:rPr>
        <w:tab/>
        <w:t>each volume is to be paginated and contain an index showing the page at which each exhibit commences;</w:t>
      </w:r>
    </w:p>
    <w:p w14:paraId="3CE05772" w14:textId="77777777" w:rsidR="00F936EB" w:rsidRPr="00F20345" w:rsidRDefault="00F936EB" w:rsidP="00F936EB">
      <w:pPr>
        <w:pStyle w:val="Doublehangingindent"/>
        <w:jc w:val="both"/>
        <w:rPr>
          <w:sz w:val="24"/>
        </w:rPr>
      </w:pPr>
      <w:r w:rsidRPr="00F20345">
        <w:rPr>
          <w:sz w:val="24"/>
        </w:rPr>
        <w:t>(b)</w:t>
      </w:r>
      <w:r w:rsidRPr="00F20345">
        <w:rPr>
          <w:sz w:val="24"/>
        </w:rPr>
        <w:tab/>
        <w:t>each exhibit is to be clearly marked with its exhibit designation and tagged so that its commencement can be seen without opening the volume;</w:t>
      </w:r>
    </w:p>
    <w:p w14:paraId="058782B0" w14:textId="77777777" w:rsidR="00F936EB" w:rsidRPr="00F20345" w:rsidRDefault="00F936EB" w:rsidP="00F936EB">
      <w:pPr>
        <w:pStyle w:val="Doublehangingindent"/>
        <w:jc w:val="both"/>
        <w:rPr>
          <w:sz w:val="24"/>
        </w:rPr>
      </w:pPr>
      <w:r w:rsidRPr="00F20345">
        <w:rPr>
          <w:sz w:val="24"/>
        </w:rPr>
        <w:t>(c)</w:t>
      </w:r>
      <w:r w:rsidRPr="00F20345">
        <w:rPr>
          <w:sz w:val="24"/>
        </w:rPr>
        <w:tab/>
        <w:t>the binding is to be of an appropriate size and allow the volume to lie flat when opened at any page;</w:t>
      </w:r>
    </w:p>
    <w:p w14:paraId="3AAD5E59" w14:textId="77777777" w:rsidR="00F936EB" w:rsidRPr="00F20345" w:rsidRDefault="00F936EB" w:rsidP="00F936EB">
      <w:pPr>
        <w:pStyle w:val="Doublehangingindent"/>
        <w:jc w:val="both"/>
        <w:rPr>
          <w:sz w:val="24"/>
        </w:rPr>
      </w:pPr>
      <w:r w:rsidRPr="00F20345">
        <w:rPr>
          <w:sz w:val="24"/>
        </w:rPr>
        <w:t>(d)</w:t>
      </w:r>
      <w:r w:rsidRPr="00F20345">
        <w:rPr>
          <w:sz w:val="24"/>
        </w:rPr>
        <w:tab/>
        <w:t xml:space="preserve">each volume (with any binding) is to be no more than 3 centimetres thick; </w:t>
      </w:r>
    </w:p>
    <w:p w14:paraId="28094FF4" w14:textId="77777777" w:rsidR="00F936EB" w:rsidRPr="00F20345" w:rsidRDefault="00F936EB" w:rsidP="00F936EB">
      <w:pPr>
        <w:pStyle w:val="Doublehangingindent"/>
        <w:jc w:val="both"/>
        <w:rPr>
          <w:sz w:val="24"/>
        </w:rPr>
      </w:pPr>
      <w:r w:rsidRPr="00F20345">
        <w:rPr>
          <w:sz w:val="24"/>
        </w:rPr>
        <w:t>(e)</w:t>
      </w:r>
      <w:r w:rsidRPr="00F20345">
        <w:rPr>
          <w:sz w:val="24"/>
        </w:rPr>
        <w:tab/>
        <w:t>the authorised person before whom the affidavit is made is to make a single certification that exhibits in the bundle are the exhibits produced by the deponent when making the affidavit;</w:t>
      </w:r>
    </w:p>
    <w:p w14:paraId="084D1265" w14:textId="77777777" w:rsidR="00F936EB" w:rsidRPr="00F20345" w:rsidRDefault="00F936EB" w:rsidP="00F936EB">
      <w:pPr>
        <w:pStyle w:val="Doublehangingindent"/>
        <w:jc w:val="both"/>
        <w:rPr>
          <w:sz w:val="24"/>
        </w:rPr>
      </w:pPr>
      <w:r w:rsidRPr="00F20345">
        <w:rPr>
          <w:sz w:val="24"/>
        </w:rPr>
        <w:t>(f)</w:t>
      </w:r>
      <w:r w:rsidRPr="00F20345">
        <w:rPr>
          <w:sz w:val="24"/>
        </w:rPr>
        <w:tab/>
        <w:t>the certification is to be made on the front sheet of the volume of exhibits and, if there is more than one volume, is to be reproduced and included as a front sheet on each volume together with an index of the exhibit numbers contained in each volume.</w:t>
      </w:r>
    </w:p>
    <w:p w14:paraId="0FC75C80" w14:textId="77777777" w:rsidR="00F936EB" w:rsidRPr="00F20345" w:rsidRDefault="00F936EB" w:rsidP="00F936EB">
      <w:pPr>
        <w:pStyle w:val="Hangindent"/>
        <w:spacing w:before="120"/>
        <w:jc w:val="both"/>
        <w:rPr>
          <w:sz w:val="24"/>
        </w:rPr>
      </w:pPr>
      <w:r w:rsidRPr="00F20345">
        <w:rPr>
          <w:sz w:val="24"/>
        </w:rPr>
        <w:t>(3)</w:t>
      </w:r>
      <w:r w:rsidRPr="00F20345">
        <w:rPr>
          <w:sz w:val="24"/>
        </w:rPr>
        <w:tab/>
        <w:t>A party may file an affidavit comprising less than 50 pages or including less than 5 exhibits in the manner required by paragraphs (1) and (2), but is not obliged to do so.</w:t>
      </w:r>
    </w:p>
    <w:p w14:paraId="6E3449A1" w14:textId="77777777" w:rsidR="00F936EB" w:rsidRPr="00D32B94" w:rsidRDefault="00F936EB" w:rsidP="00D32B94">
      <w:pPr>
        <w:pStyle w:val="clausehead"/>
        <w:spacing w:after="120"/>
        <w:rPr>
          <w:lang w:val="en-US"/>
        </w:rPr>
      </w:pPr>
      <w:bookmarkStart w:id="105" w:name="_Toc60132412"/>
      <w:r w:rsidRPr="00D32B94">
        <w:rPr>
          <w:lang w:val="en-US"/>
        </w:rPr>
        <w:t>18—Form of list of authorities</w:t>
      </w:r>
      <w:bookmarkEnd w:id="102"/>
      <w:bookmarkEnd w:id="103"/>
      <w:bookmarkEnd w:id="104"/>
      <w:bookmarkEnd w:id="105"/>
    </w:p>
    <w:p w14:paraId="66F988FE"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 list of authorities is to contain the—</w:t>
      </w:r>
    </w:p>
    <w:p w14:paraId="0E095A82" w14:textId="77777777" w:rsidR="00F936EB" w:rsidRPr="00750571" w:rsidRDefault="00F936EB" w:rsidP="00F936EB">
      <w:pPr>
        <w:pStyle w:val="Doublehangingindent"/>
        <w:jc w:val="both"/>
        <w:rPr>
          <w:sz w:val="24"/>
          <w:szCs w:val="24"/>
          <w:lang w:val="en-GB"/>
        </w:rPr>
      </w:pPr>
      <w:r w:rsidRPr="00750571">
        <w:rPr>
          <w:sz w:val="24"/>
          <w:szCs w:val="24"/>
          <w:lang w:val="en-GB"/>
        </w:rPr>
        <w:t>(a)</w:t>
      </w:r>
      <w:r w:rsidRPr="00750571">
        <w:rPr>
          <w:sz w:val="24"/>
          <w:szCs w:val="24"/>
          <w:lang w:val="en-GB"/>
        </w:rPr>
        <w:tab/>
        <w:t xml:space="preserve">full heading of the </w:t>
      </w:r>
      <w:r>
        <w:rPr>
          <w:sz w:val="24"/>
          <w:szCs w:val="24"/>
          <w:lang w:val="en-GB"/>
        </w:rPr>
        <w:t>proceeding</w:t>
      </w:r>
      <w:r w:rsidRPr="00750571">
        <w:rPr>
          <w:sz w:val="24"/>
          <w:szCs w:val="24"/>
          <w:lang w:val="en-GB"/>
        </w:rPr>
        <w:t>;</w:t>
      </w:r>
    </w:p>
    <w:p w14:paraId="17E1E5BA" w14:textId="77777777" w:rsidR="00F936EB" w:rsidRPr="00750571" w:rsidRDefault="00F936EB" w:rsidP="00F936EB">
      <w:pPr>
        <w:pStyle w:val="Doublehangingindent"/>
        <w:jc w:val="both"/>
        <w:rPr>
          <w:sz w:val="24"/>
          <w:szCs w:val="24"/>
          <w:lang w:val="en-GB"/>
        </w:rPr>
      </w:pPr>
      <w:r w:rsidRPr="00750571">
        <w:rPr>
          <w:sz w:val="24"/>
          <w:szCs w:val="24"/>
          <w:lang w:val="en-GB"/>
        </w:rPr>
        <w:t>(b)</w:t>
      </w:r>
      <w:r w:rsidRPr="00750571">
        <w:rPr>
          <w:sz w:val="24"/>
          <w:szCs w:val="24"/>
          <w:lang w:val="en-GB"/>
        </w:rPr>
        <w:tab/>
        <w:t>anticipated date of hearing;</w:t>
      </w:r>
    </w:p>
    <w:p w14:paraId="5036C266" w14:textId="77777777" w:rsidR="00F936EB" w:rsidRPr="00750571" w:rsidRDefault="00F936EB" w:rsidP="00F936EB">
      <w:pPr>
        <w:pStyle w:val="Doublehangingindent"/>
        <w:jc w:val="both"/>
        <w:rPr>
          <w:sz w:val="24"/>
          <w:szCs w:val="24"/>
          <w:lang w:val="en-GB"/>
        </w:rPr>
      </w:pPr>
      <w:r w:rsidRPr="00750571">
        <w:rPr>
          <w:sz w:val="24"/>
          <w:szCs w:val="24"/>
          <w:lang w:val="en-GB"/>
        </w:rPr>
        <w:t>(c)</w:t>
      </w:r>
      <w:r w:rsidRPr="00750571">
        <w:rPr>
          <w:sz w:val="24"/>
          <w:szCs w:val="24"/>
          <w:lang w:val="en-GB"/>
        </w:rPr>
        <w:tab/>
      </w:r>
      <w:r>
        <w:rPr>
          <w:sz w:val="24"/>
          <w:szCs w:val="24"/>
          <w:lang w:val="en-GB"/>
        </w:rPr>
        <w:t xml:space="preserve">name of the </w:t>
      </w:r>
      <w:r w:rsidRPr="00750571">
        <w:rPr>
          <w:sz w:val="24"/>
          <w:szCs w:val="24"/>
          <w:lang w:val="en-GB"/>
        </w:rPr>
        <w:t>Judge who will hear the case (if known).</w:t>
      </w:r>
    </w:p>
    <w:p w14:paraId="5FCC94E0" w14:textId="77777777" w:rsidR="00F936EB" w:rsidRPr="00750571" w:rsidRDefault="00F936EB" w:rsidP="00F936EB">
      <w:pPr>
        <w:pStyle w:val="Hangindent"/>
        <w:spacing w:before="120"/>
        <w:jc w:val="both"/>
        <w:rPr>
          <w:sz w:val="24"/>
          <w:szCs w:val="24"/>
          <w:lang w:val="en-GB"/>
        </w:rPr>
      </w:pPr>
      <w:r w:rsidRPr="00750571">
        <w:rPr>
          <w:sz w:val="24"/>
          <w:szCs w:val="24"/>
          <w:lang w:val="en-GB"/>
        </w:rPr>
        <w:t>(2)</w:t>
      </w:r>
      <w:r w:rsidRPr="00750571">
        <w:rPr>
          <w:sz w:val="24"/>
          <w:szCs w:val="24"/>
          <w:lang w:val="en-GB"/>
        </w:rPr>
        <w:tab/>
        <w:t>A list of authorities is to be divided into two parts—</w:t>
      </w:r>
    </w:p>
    <w:p w14:paraId="46783CB3" w14:textId="77777777" w:rsidR="00F936EB" w:rsidRPr="00750571" w:rsidRDefault="00F936EB" w:rsidP="00F936EB">
      <w:pPr>
        <w:pStyle w:val="Doublehangingindent"/>
        <w:jc w:val="both"/>
        <w:rPr>
          <w:sz w:val="24"/>
          <w:szCs w:val="24"/>
          <w:lang w:val="en-GB"/>
        </w:rPr>
      </w:pPr>
      <w:r w:rsidRPr="00750571">
        <w:rPr>
          <w:sz w:val="24"/>
          <w:szCs w:val="24"/>
          <w:lang w:val="en-GB"/>
        </w:rPr>
        <w:t>(a)</w:t>
      </w:r>
      <w:r w:rsidRPr="00750571">
        <w:rPr>
          <w:sz w:val="24"/>
          <w:szCs w:val="24"/>
          <w:lang w:val="en-GB"/>
        </w:rPr>
        <w:tab/>
        <w:t>PART I to be headed “Authorities to be Read” is to contain the authorities from which counsel will or may read passages to the Court;</w:t>
      </w:r>
    </w:p>
    <w:p w14:paraId="0DBD8B61" w14:textId="77777777" w:rsidR="00F936EB" w:rsidRPr="00750571" w:rsidRDefault="00F936EB" w:rsidP="00F936EB">
      <w:pPr>
        <w:pStyle w:val="Doublehangingindent"/>
        <w:jc w:val="both"/>
        <w:rPr>
          <w:sz w:val="24"/>
          <w:szCs w:val="24"/>
          <w:lang w:val="en-GB"/>
        </w:rPr>
      </w:pPr>
      <w:r w:rsidRPr="00750571">
        <w:rPr>
          <w:sz w:val="24"/>
          <w:szCs w:val="24"/>
          <w:lang w:val="en-GB"/>
        </w:rPr>
        <w:t>(b)</w:t>
      </w:r>
      <w:r w:rsidRPr="00750571">
        <w:rPr>
          <w:sz w:val="24"/>
          <w:szCs w:val="24"/>
          <w:lang w:val="en-GB"/>
        </w:rPr>
        <w:tab/>
        <w:t xml:space="preserve">PART II to be headed “Authorities to be Referred To” is </w:t>
      </w:r>
      <w:r>
        <w:rPr>
          <w:sz w:val="24"/>
          <w:szCs w:val="24"/>
          <w:lang w:val="en-GB"/>
        </w:rPr>
        <w:t>to contain the authorities that</w:t>
      </w:r>
      <w:r w:rsidRPr="00750571">
        <w:rPr>
          <w:sz w:val="24"/>
          <w:szCs w:val="24"/>
          <w:lang w:val="en-GB"/>
        </w:rPr>
        <w:t xml:space="preserve"> are relied upon but from which counsel does not expect to read.</w:t>
      </w:r>
    </w:p>
    <w:p w14:paraId="3B98AE61" w14:textId="77777777" w:rsidR="00F936EB" w:rsidRPr="00D32B94" w:rsidRDefault="00F936EB" w:rsidP="00CA0FEC">
      <w:pPr>
        <w:pStyle w:val="clausehead"/>
        <w:spacing w:after="120"/>
        <w:rPr>
          <w:lang w:val="en-US"/>
        </w:rPr>
      </w:pPr>
      <w:bookmarkStart w:id="106" w:name="_Toc385334735"/>
      <w:bookmarkStart w:id="107" w:name="_Toc388265125"/>
      <w:bookmarkStart w:id="108" w:name="_Toc394312650"/>
      <w:bookmarkStart w:id="109" w:name="_Toc60132413"/>
      <w:r w:rsidRPr="00D32B94">
        <w:rPr>
          <w:lang w:val="en-US"/>
        </w:rPr>
        <w:lastRenderedPageBreak/>
        <w:t>19—Citations in list of authorities</w:t>
      </w:r>
      <w:bookmarkEnd w:id="106"/>
      <w:bookmarkEnd w:id="107"/>
      <w:bookmarkEnd w:id="108"/>
      <w:bookmarkEnd w:id="109"/>
    </w:p>
    <w:p w14:paraId="6B66842C" w14:textId="77777777" w:rsidR="00F936EB" w:rsidRPr="0036702A" w:rsidRDefault="00F936EB" w:rsidP="00CA0FEC">
      <w:pPr>
        <w:pStyle w:val="Hangindent"/>
        <w:keepNext/>
        <w:keepLines/>
        <w:rPr>
          <w:sz w:val="24"/>
          <w:szCs w:val="24"/>
        </w:rPr>
      </w:pPr>
      <w:r w:rsidRPr="0036702A">
        <w:rPr>
          <w:sz w:val="24"/>
          <w:szCs w:val="24"/>
        </w:rPr>
        <w:t>(1)</w:t>
      </w:r>
      <w:r w:rsidRPr="0036702A">
        <w:rPr>
          <w:sz w:val="24"/>
          <w:szCs w:val="24"/>
        </w:rPr>
        <w:tab/>
        <w:t>When a case is reported in an authorised series of reports such as the South Australian State Reports, Commonwealth Law Reports, Federal Court Reports, the English authorised reports (The Law Reports) or in a series of reports containing only decisions of a State or Territory Supreme Court, the citation of the case in those reports is to be used.  In addition, the medium neutral citation, when available, is to be provided for all cases, whether reported or not.</w:t>
      </w:r>
    </w:p>
    <w:p w14:paraId="56E96A05" w14:textId="77777777" w:rsidR="00F936EB" w:rsidRPr="001653E2" w:rsidRDefault="00F936EB" w:rsidP="00F936EB">
      <w:pPr>
        <w:pStyle w:val="Hangindent"/>
        <w:rPr>
          <w:sz w:val="24"/>
          <w:szCs w:val="24"/>
        </w:rPr>
      </w:pPr>
      <w:r w:rsidRPr="001653E2">
        <w:rPr>
          <w:sz w:val="24"/>
          <w:szCs w:val="24"/>
        </w:rPr>
        <w:t>(2)</w:t>
      </w:r>
      <w:r w:rsidRPr="001653E2">
        <w:rPr>
          <w:sz w:val="24"/>
          <w:szCs w:val="24"/>
        </w:rPr>
        <w:tab/>
        <w:t xml:space="preserve">Each authority in a list of authorities provided by email is to be hyperlinked to a page from which the authority can be accessed in </w:t>
      </w:r>
      <w:proofErr w:type="spellStart"/>
      <w:r w:rsidRPr="001653E2">
        <w:rPr>
          <w:sz w:val="24"/>
          <w:szCs w:val="24"/>
        </w:rPr>
        <w:t>HyperText</w:t>
      </w:r>
      <w:proofErr w:type="spellEnd"/>
      <w:r w:rsidRPr="001653E2">
        <w:rPr>
          <w:sz w:val="24"/>
          <w:szCs w:val="24"/>
        </w:rPr>
        <w:t xml:space="preserve"> </w:t>
      </w:r>
      <w:proofErr w:type="spellStart"/>
      <w:r w:rsidRPr="001653E2">
        <w:rPr>
          <w:sz w:val="24"/>
          <w:szCs w:val="24"/>
        </w:rPr>
        <w:t>Markup</w:t>
      </w:r>
      <w:proofErr w:type="spellEnd"/>
      <w:r w:rsidRPr="001653E2">
        <w:rPr>
          <w:sz w:val="24"/>
          <w:szCs w:val="24"/>
        </w:rPr>
        <w:t xml:space="preserve"> Language (</w:t>
      </w:r>
      <w:r w:rsidRPr="00BB1056">
        <w:rPr>
          <w:b/>
          <w:i/>
          <w:sz w:val="24"/>
          <w:szCs w:val="24"/>
        </w:rPr>
        <w:t>HTML</w:t>
      </w:r>
      <w:r w:rsidRPr="001653E2">
        <w:rPr>
          <w:sz w:val="24"/>
          <w:szCs w:val="24"/>
        </w:rPr>
        <w:t>), Rich Text Format (</w:t>
      </w:r>
      <w:r w:rsidRPr="00BB1056">
        <w:rPr>
          <w:b/>
          <w:i/>
          <w:sz w:val="24"/>
          <w:szCs w:val="24"/>
        </w:rPr>
        <w:t>RTF</w:t>
      </w:r>
      <w:r w:rsidRPr="001653E2">
        <w:rPr>
          <w:sz w:val="24"/>
          <w:szCs w:val="24"/>
        </w:rPr>
        <w:t>), Portable Document Format (</w:t>
      </w:r>
      <w:r w:rsidRPr="00BB1056">
        <w:rPr>
          <w:b/>
          <w:i/>
          <w:sz w:val="24"/>
          <w:szCs w:val="24"/>
        </w:rPr>
        <w:t>PDF</w:t>
      </w:r>
      <w:r w:rsidRPr="001653E2">
        <w:rPr>
          <w:sz w:val="24"/>
          <w:szCs w:val="24"/>
        </w:rPr>
        <w:t xml:space="preserve">) or other comparable format, so as to facilitate access by the Court to that authority.  </w:t>
      </w:r>
    </w:p>
    <w:p w14:paraId="53951A28" w14:textId="77777777" w:rsidR="00F936EB" w:rsidRPr="00750571" w:rsidRDefault="00F936EB" w:rsidP="00F936EB">
      <w:pPr>
        <w:pStyle w:val="Hangindent"/>
        <w:spacing w:before="120"/>
        <w:rPr>
          <w:sz w:val="24"/>
          <w:szCs w:val="24"/>
        </w:rPr>
      </w:pPr>
      <w:r w:rsidRPr="00750571">
        <w:rPr>
          <w:sz w:val="24"/>
          <w:szCs w:val="24"/>
        </w:rPr>
        <w:t>(3)</w:t>
      </w:r>
      <w:r w:rsidRPr="00750571">
        <w:rPr>
          <w:sz w:val="24"/>
          <w:szCs w:val="24"/>
        </w:rPr>
        <w:tab/>
        <w:t>If alternatives are available, a searchable format of the authority is to be preferred over a non-searchable format.  In the case of reports provided by Thomson Reuters (</w:t>
      </w:r>
      <w:proofErr w:type="spellStart"/>
      <w:r w:rsidRPr="00750571">
        <w:rPr>
          <w:sz w:val="24"/>
          <w:szCs w:val="24"/>
        </w:rPr>
        <w:t>eg</w:t>
      </w:r>
      <w:proofErr w:type="spellEnd"/>
      <w:r w:rsidRPr="00750571">
        <w:rPr>
          <w:sz w:val="24"/>
          <w:szCs w:val="24"/>
        </w:rPr>
        <w:t xml:space="preserve"> CLR, SASR or NSWLR) or LexisNexis (</w:t>
      </w:r>
      <w:proofErr w:type="spellStart"/>
      <w:r w:rsidRPr="00750571">
        <w:rPr>
          <w:sz w:val="24"/>
          <w:szCs w:val="24"/>
        </w:rPr>
        <w:t>eg</w:t>
      </w:r>
      <w:proofErr w:type="spellEnd"/>
      <w:r w:rsidRPr="00750571">
        <w:rPr>
          <w:sz w:val="24"/>
          <w:szCs w:val="24"/>
        </w:rPr>
        <w:t xml:space="preserve"> VLR), the link </w:t>
      </w:r>
      <w:r>
        <w:rPr>
          <w:sz w:val="24"/>
          <w:szCs w:val="24"/>
        </w:rPr>
        <w:t>is to</w:t>
      </w:r>
      <w:r w:rsidRPr="00750571">
        <w:rPr>
          <w:sz w:val="24"/>
          <w:szCs w:val="24"/>
        </w:rPr>
        <w:t xml:space="preserve"> be to the HTML version (and not the PDF version) of the authorised report.  In the case of reports sourced from </w:t>
      </w:r>
      <w:proofErr w:type="spellStart"/>
      <w:r w:rsidRPr="00750571">
        <w:rPr>
          <w:sz w:val="24"/>
          <w:szCs w:val="24"/>
        </w:rPr>
        <w:t>Austlii</w:t>
      </w:r>
      <w:proofErr w:type="spellEnd"/>
      <w:r w:rsidRPr="00750571">
        <w:rPr>
          <w:sz w:val="24"/>
          <w:szCs w:val="24"/>
        </w:rPr>
        <w:t xml:space="preserve"> (the medium neutral version), the link </w:t>
      </w:r>
      <w:r>
        <w:rPr>
          <w:sz w:val="24"/>
          <w:szCs w:val="24"/>
        </w:rPr>
        <w:t>is to</w:t>
      </w:r>
      <w:r w:rsidRPr="00750571">
        <w:rPr>
          <w:sz w:val="24"/>
          <w:szCs w:val="24"/>
        </w:rPr>
        <w:t xml:space="preserve"> be directly to the RTF version of the report</w:t>
      </w:r>
      <w:r>
        <w:rPr>
          <w:sz w:val="24"/>
          <w:szCs w:val="24"/>
        </w:rPr>
        <w:t xml:space="preserve"> (if available)</w:t>
      </w:r>
      <w:r w:rsidRPr="00750571">
        <w:rPr>
          <w:sz w:val="24"/>
          <w:szCs w:val="24"/>
        </w:rPr>
        <w:t xml:space="preserve">.  </w:t>
      </w:r>
    </w:p>
    <w:p w14:paraId="1A19504B" w14:textId="77777777" w:rsidR="00F936EB" w:rsidRPr="00750571" w:rsidRDefault="00F936EB" w:rsidP="00F936EB">
      <w:pPr>
        <w:pStyle w:val="Hangindent"/>
        <w:spacing w:before="120"/>
        <w:rPr>
          <w:sz w:val="24"/>
          <w:szCs w:val="24"/>
        </w:rPr>
      </w:pPr>
      <w:r w:rsidRPr="00750571">
        <w:rPr>
          <w:sz w:val="24"/>
          <w:szCs w:val="24"/>
        </w:rPr>
        <w:t>(4)</w:t>
      </w:r>
      <w:r w:rsidRPr="00750571">
        <w:rPr>
          <w:sz w:val="24"/>
          <w:szCs w:val="24"/>
        </w:rPr>
        <w:tab/>
        <w:t xml:space="preserve">If an online authorised series of reports is available to the party delivering the list of authorities, the hyperlink </w:t>
      </w:r>
      <w:r>
        <w:rPr>
          <w:sz w:val="24"/>
          <w:szCs w:val="24"/>
        </w:rPr>
        <w:t>is to</w:t>
      </w:r>
      <w:r w:rsidRPr="00750571">
        <w:rPr>
          <w:sz w:val="24"/>
          <w:szCs w:val="24"/>
        </w:rPr>
        <w:t xml:space="preserve"> be to the report of the case in that series as well as to a freely available medium neutral version of the case (if available).  </w:t>
      </w:r>
    </w:p>
    <w:p w14:paraId="582A05F7" w14:textId="77777777" w:rsidR="00F936EB" w:rsidRPr="00750571" w:rsidRDefault="00F936EB" w:rsidP="00F936EB">
      <w:pPr>
        <w:pStyle w:val="Hangindent"/>
        <w:spacing w:before="120"/>
        <w:rPr>
          <w:sz w:val="24"/>
          <w:szCs w:val="24"/>
        </w:rPr>
      </w:pPr>
      <w:r w:rsidRPr="00750571">
        <w:rPr>
          <w:sz w:val="24"/>
          <w:szCs w:val="24"/>
        </w:rPr>
        <w:t>(5)</w:t>
      </w:r>
      <w:r w:rsidRPr="00750571">
        <w:rPr>
          <w:sz w:val="24"/>
          <w:szCs w:val="24"/>
        </w:rPr>
        <w:tab/>
        <w:t xml:space="preserve">If hyperlinking is not possible because, for example, an electronic report of the </w:t>
      </w:r>
      <w:r>
        <w:rPr>
          <w:sz w:val="24"/>
          <w:szCs w:val="24"/>
        </w:rPr>
        <w:t>authority is not available, the</w:t>
      </w:r>
      <w:r w:rsidRPr="00750571">
        <w:rPr>
          <w:sz w:val="24"/>
          <w:szCs w:val="24"/>
        </w:rPr>
        <w:t xml:space="preserve"> authority </w:t>
      </w:r>
      <w:r>
        <w:rPr>
          <w:sz w:val="24"/>
          <w:szCs w:val="24"/>
        </w:rPr>
        <w:t>is to</w:t>
      </w:r>
      <w:r w:rsidRPr="00750571">
        <w:rPr>
          <w:sz w:val="24"/>
          <w:szCs w:val="24"/>
        </w:rPr>
        <w:t xml:space="preserve"> be marked in the list with the words “hyperlinking unavailable”.  </w:t>
      </w:r>
    </w:p>
    <w:p w14:paraId="5F33C1D3" w14:textId="77777777" w:rsidR="00F936EB" w:rsidRPr="009B77FF" w:rsidRDefault="00F936EB" w:rsidP="00F936EB">
      <w:pPr>
        <w:pStyle w:val="Hangindent"/>
        <w:spacing w:before="120"/>
        <w:rPr>
          <w:color w:val="0000FF"/>
          <w:sz w:val="24"/>
          <w:szCs w:val="24"/>
          <w:u w:val="single"/>
        </w:rPr>
      </w:pPr>
      <w:r w:rsidRPr="00750571">
        <w:rPr>
          <w:sz w:val="24"/>
          <w:szCs w:val="24"/>
        </w:rPr>
        <w:t>(6)</w:t>
      </w:r>
      <w:r w:rsidRPr="00750571">
        <w:rPr>
          <w:sz w:val="24"/>
          <w:szCs w:val="24"/>
        </w:rPr>
        <w:tab/>
        <w:t xml:space="preserve">If a hyperlink comprises more than 75 characters, parties should use a hyperlink shortening service such as </w:t>
      </w:r>
      <w:hyperlink r:id="rId13" w:history="1">
        <w:r w:rsidRPr="00750571">
          <w:rPr>
            <w:color w:val="0000FF"/>
            <w:sz w:val="24"/>
            <w:szCs w:val="24"/>
            <w:u w:val="single"/>
          </w:rPr>
          <w:t>http://goo.gl</w:t>
        </w:r>
      </w:hyperlink>
      <w:r>
        <w:rPr>
          <w:sz w:val="24"/>
          <w:szCs w:val="24"/>
        </w:rPr>
        <w:t>,</w:t>
      </w:r>
      <w:r w:rsidRPr="00750571">
        <w:rPr>
          <w:sz w:val="24"/>
          <w:szCs w:val="24"/>
        </w:rPr>
        <w:t xml:space="preserve"> </w:t>
      </w:r>
      <w:hyperlink r:id="rId14" w:history="1">
        <w:r w:rsidRPr="00750571">
          <w:rPr>
            <w:color w:val="0000FF"/>
            <w:sz w:val="24"/>
            <w:szCs w:val="24"/>
            <w:u w:val="single"/>
          </w:rPr>
          <w:t>http://bit.ly</w:t>
        </w:r>
      </w:hyperlink>
      <w:r>
        <w:rPr>
          <w:sz w:val="24"/>
          <w:szCs w:val="24"/>
        </w:rPr>
        <w:t xml:space="preserve"> </w:t>
      </w:r>
      <w:r w:rsidRPr="00750571">
        <w:rPr>
          <w:sz w:val="24"/>
          <w:szCs w:val="24"/>
        </w:rPr>
        <w:t xml:space="preserve">or </w:t>
      </w:r>
      <w:hyperlink r:id="rId15" w:history="1">
        <w:r w:rsidRPr="00750571">
          <w:rPr>
            <w:color w:val="0000FF"/>
            <w:sz w:val="24"/>
            <w:szCs w:val="24"/>
            <w:u w:val="single"/>
          </w:rPr>
          <w:t>http://tinyurl.com</w:t>
        </w:r>
      </w:hyperlink>
      <w:r w:rsidRPr="00750571">
        <w:rPr>
          <w:sz w:val="24"/>
          <w:szCs w:val="24"/>
        </w:rPr>
        <w:t xml:space="preserve"> to shorten the hyperlink to a manageable form.</w:t>
      </w:r>
    </w:p>
    <w:p w14:paraId="5F9FA779" w14:textId="77777777" w:rsidR="00F936EB" w:rsidRPr="00750571" w:rsidRDefault="00F936EB" w:rsidP="00F936EB">
      <w:pPr>
        <w:pStyle w:val="Hangindent"/>
        <w:spacing w:before="120"/>
        <w:rPr>
          <w:sz w:val="24"/>
          <w:szCs w:val="24"/>
        </w:rPr>
      </w:pPr>
      <w:r w:rsidRPr="00750571">
        <w:rPr>
          <w:sz w:val="24"/>
          <w:szCs w:val="24"/>
        </w:rPr>
        <w:t>(7)</w:t>
      </w:r>
      <w:r w:rsidRPr="00750571">
        <w:rPr>
          <w:sz w:val="24"/>
          <w:szCs w:val="24"/>
        </w:rPr>
        <w:tab/>
        <w:t xml:space="preserve">In all cases, the hyperlink provided </w:t>
      </w:r>
      <w:r>
        <w:rPr>
          <w:sz w:val="24"/>
          <w:szCs w:val="24"/>
        </w:rPr>
        <w:t>is to</w:t>
      </w:r>
      <w:r w:rsidRPr="00750571">
        <w:rPr>
          <w:sz w:val="24"/>
          <w:szCs w:val="24"/>
        </w:rPr>
        <w:t xml:space="preserve"> be in addition to, and not in place of, a citation in conformity with paragraph (1).</w:t>
      </w:r>
    </w:p>
    <w:p w14:paraId="0AE8B569" w14:textId="77777777" w:rsidR="00F936EB" w:rsidRPr="00D32B94" w:rsidRDefault="00F936EB" w:rsidP="0045051C">
      <w:pPr>
        <w:pStyle w:val="clausehead"/>
        <w:spacing w:after="120"/>
        <w:rPr>
          <w:lang w:val="en-US"/>
        </w:rPr>
      </w:pPr>
      <w:bookmarkStart w:id="110" w:name="_Toc385334737"/>
      <w:bookmarkStart w:id="111" w:name="_Toc388265127"/>
      <w:bookmarkStart w:id="112" w:name="_Toc394312651"/>
      <w:bookmarkStart w:id="113" w:name="_Toc60132414"/>
      <w:r w:rsidRPr="00D32B94">
        <w:rPr>
          <w:lang w:val="en-US"/>
        </w:rPr>
        <w:t xml:space="preserve">20—Electronic delivery of </w:t>
      </w:r>
      <w:r w:rsidR="00971CC2">
        <w:rPr>
          <w:lang w:val="en-US"/>
        </w:rPr>
        <w:t xml:space="preserve">written submission or </w:t>
      </w:r>
      <w:r w:rsidRPr="00D32B94">
        <w:rPr>
          <w:lang w:val="en-US"/>
        </w:rPr>
        <w:t>summary of argument and list of authorities</w:t>
      </w:r>
      <w:bookmarkEnd w:id="110"/>
      <w:bookmarkEnd w:id="111"/>
      <w:bookmarkEnd w:id="112"/>
      <w:bookmarkEnd w:id="113"/>
    </w:p>
    <w:p w14:paraId="5C4CF51F" w14:textId="77777777" w:rsidR="00F936EB" w:rsidRPr="0036702A" w:rsidRDefault="00F936EB" w:rsidP="00F936EB">
      <w:pPr>
        <w:pStyle w:val="Hangindent"/>
        <w:rPr>
          <w:sz w:val="24"/>
          <w:szCs w:val="24"/>
          <w:lang w:val="en-GB"/>
        </w:rPr>
      </w:pPr>
      <w:r w:rsidRPr="0036702A">
        <w:rPr>
          <w:sz w:val="24"/>
          <w:szCs w:val="24"/>
          <w:lang w:val="en-GB"/>
        </w:rPr>
        <w:t>(1)</w:t>
      </w:r>
      <w:r w:rsidRPr="0036702A">
        <w:rPr>
          <w:sz w:val="24"/>
          <w:szCs w:val="24"/>
          <w:lang w:val="en-GB"/>
        </w:rPr>
        <w:tab/>
        <w:t>When a</w:t>
      </w:r>
      <w:r w:rsidR="00971CC2">
        <w:rPr>
          <w:sz w:val="24"/>
          <w:szCs w:val="24"/>
          <w:lang w:val="en-GB"/>
        </w:rPr>
        <w:t xml:space="preserve"> written submission or</w:t>
      </w:r>
      <w:r w:rsidRPr="0036702A">
        <w:rPr>
          <w:sz w:val="24"/>
          <w:szCs w:val="24"/>
          <w:lang w:val="en-GB"/>
        </w:rPr>
        <w:t xml:space="preserve"> summary of argument, list of authorities, chronology or summary of evidence and facts is to be provided for any hearing, it is to be lodged with the Court by email in accordance with the following paragraphs of this supplementary rule.</w:t>
      </w:r>
    </w:p>
    <w:p w14:paraId="0F649C34" w14:textId="77777777" w:rsidR="00F936EB" w:rsidRPr="00252877" w:rsidRDefault="00F936EB" w:rsidP="00F936EB">
      <w:pPr>
        <w:pStyle w:val="Hangindent"/>
        <w:spacing w:before="120"/>
        <w:jc w:val="both"/>
        <w:rPr>
          <w:sz w:val="24"/>
          <w:szCs w:val="24"/>
          <w:lang w:val="en-GB"/>
        </w:rPr>
      </w:pPr>
      <w:r w:rsidRPr="00252877">
        <w:rPr>
          <w:sz w:val="24"/>
          <w:szCs w:val="24"/>
          <w:lang w:val="en-GB"/>
        </w:rPr>
        <w:t>(2)</w:t>
      </w:r>
      <w:r w:rsidRPr="00252877">
        <w:rPr>
          <w:sz w:val="24"/>
          <w:szCs w:val="24"/>
          <w:lang w:val="en-GB"/>
        </w:rPr>
        <w:tab/>
      </w:r>
      <w:r w:rsidR="00062A20">
        <w:rPr>
          <w:sz w:val="24"/>
          <w:szCs w:val="24"/>
          <w:lang w:val="en-GB"/>
        </w:rPr>
        <w:t xml:space="preserve">The </w:t>
      </w:r>
      <w:r w:rsidRPr="00252877">
        <w:rPr>
          <w:sz w:val="24"/>
          <w:szCs w:val="24"/>
          <w:lang w:val="en-GB"/>
        </w:rPr>
        <w:t>email is to be sent with the subject line required by paragraph (3)</w:t>
      </w:r>
      <w:r w:rsidR="005973E6">
        <w:rPr>
          <w:sz w:val="24"/>
          <w:szCs w:val="24"/>
          <w:lang w:val="en-GB"/>
        </w:rPr>
        <w:t xml:space="preserve"> </w:t>
      </w:r>
      <w:r w:rsidR="0054645F">
        <w:rPr>
          <w:sz w:val="24"/>
          <w:szCs w:val="24"/>
          <w:lang w:val="en-GB"/>
        </w:rPr>
        <w:t xml:space="preserve">to the criminal registry at </w:t>
      </w:r>
    </w:p>
    <w:p w14:paraId="21C9269F" w14:textId="77777777" w:rsidR="00F936EB" w:rsidRPr="00252877" w:rsidRDefault="0054645F" w:rsidP="00F936EB">
      <w:pPr>
        <w:pStyle w:val="Doublehangingindent"/>
        <w:jc w:val="both"/>
        <w:rPr>
          <w:sz w:val="24"/>
          <w:szCs w:val="24"/>
        </w:rPr>
      </w:pPr>
      <w:r>
        <w:rPr>
          <w:sz w:val="24"/>
          <w:szCs w:val="24"/>
        </w:rPr>
        <w:t xml:space="preserve"> </w:t>
      </w:r>
      <w:hyperlink r:id="rId16" w:history="1">
        <w:r w:rsidRPr="00151BB6">
          <w:rPr>
            <w:rStyle w:val="Hyperlink"/>
            <w:sz w:val="24"/>
            <w:szCs w:val="24"/>
          </w:rPr>
          <w:t>ccrcs@courts.sa.gov.au</w:t>
        </w:r>
      </w:hyperlink>
      <w:r>
        <w:rPr>
          <w:sz w:val="24"/>
          <w:szCs w:val="24"/>
        </w:rPr>
        <w:t xml:space="preserve"> </w:t>
      </w:r>
    </w:p>
    <w:p w14:paraId="3CDB7049" w14:textId="77777777" w:rsidR="00F936EB" w:rsidRPr="00062A20" w:rsidRDefault="00CB1E6F" w:rsidP="00F936EB">
      <w:pPr>
        <w:pStyle w:val="Hangindent"/>
        <w:rPr>
          <w:sz w:val="24"/>
          <w:szCs w:val="24"/>
          <w:lang w:val="en-GB"/>
        </w:rPr>
      </w:pPr>
      <w:r w:rsidRPr="00CB1E6F">
        <w:rPr>
          <w:sz w:val="24"/>
          <w:szCs w:val="24"/>
          <w:lang w:val="en-GB"/>
        </w:rPr>
        <w:t>(3)</w:t>
      </w:r>
      <w:r w:rsidRPr="00CB1E6F">
        <w:rPr>
          <w:sz w:val="24"/>
          <w:szCs w:val="24"/>
          <w:lang w:val="en-GB"/>
        </w:rPr>
        <w:tab/>
        <w:t>The email is to be sent with a subject line that contains the file number and the names of the parties only.</w:t>
      </w:r>
    </w:p>
    <w:p w14:paraId="496F8825" w14:textId="77777777" w:rsidR="00F936EB" w:rsidRPr="00062A20" w:rsidRDefault="00480D93" w:rsidP="0045051C">
      <w:pPr>
        <w:pStyle w:val="Hangindent"/>
        <w:keepNext/>
        <w:keepLines/>
        <w:spacing w:before="120"/>
        <w:ind w:left="2007"/>
        <w:jc w:val="both"/>
        <w:rPr>
          <w:b/>
          <w:sz w:val="20"/>
          <w:szCs w:val="20"/>
        </w:rPr>
      </w:pPr>
      <w:r>
        <w:rPr>
          <w:b/>
          <w:sz w:val="20"/>
          <w:szCs w:val="20"/>
        </w:rPr>
        <w:lastRenderedPageBreak/>
        <w:t>Example—</w:t>
      </w:r>
      <w:r>
        <w:rPr>
          <w:b/>
          <w:sz w:val="20"/>
          <w:szCs w:val="20"/>
        </w:rPr>
        <w:tab/>
      </w:r>
    </w:p>
    <w:p w14:paraId="56C6D54C" w14:textId="77777777" w:rsidR="00F936EB" w:rsidRPr="001D7032" w:rsidRDefault="00480D93" w:rsidP="0045051C">
      <w:pPr>
        <w:pStyle w:val="Hangindent"/>
        <w:keepNext/>
        <w:keepLines/>
        <w:spacing w:before="120"/>
        <w:ind w:left="2574"/>
        <w:jc w:val="both"/>
        <w:rPr>
          <w:sz w:val="20"/>
          <w:szCs w:val="20"/>
        </w:rPr>
      </w:pPr>
      <w:r>
        <w:rPr>
          <w:sz w:val="20"/>
          <w:szCs w:val="20"/>
        </w:rPr>
        <w:t>File No D</w:t>
      </w:r>
      <w:r w:rsidR="00F936EB" w:rsidRPr="00062A20">
        <w:rPr>
          <w:sz w:val="20"/>
          <w:szCs w:val="20"/>
        </w:rPr>
        <w:t xml:space="preserve">CCRM- 14-123 </w:t>
      </w:r>
      <w:r w:rsidR="00F936EB" w:rsidRPr="00062A20">
        <w:rPr>
          <w:i/>
          <w:sz w:val="20"/>
          <w:szCs w:val="20"/>
        </w:rPr>
        <w:t>R</w:t>
      </w:r>
      <w:r w:rsidR="00F936EB" w:rsidRPr="001D7032">
        <w:rPr>
          <w:i/>
          <w:sz w:val="20"/>
          <w:szCs w:val="20"/>
        </w:rPr>
        <w:t xml:space="preserve"> v Bloggs</w:t>
      </w:r>
    </w:p>
    <w:p w14:paraId="24F1A6FE" w14:textId="77777777" w:rsidR="00F936EB" w:rsidRPr="0036702A" w:rsidRDefault="00F936EB" w:rsidP="00F936EB">
      <w:pPr>
        <w:pStyle w:val="Hangindent"/>
        <w:rPr>
          <w:sz w:val="24"/>
          <w:szCs w:val="24"/>
          <w:lang w:val="en-GB"/>
        </w:rPr>
      </w:pPr>
      <w:r w:rsidRPr="0036702A">
        <w:rPr>
          <w:sz w:val="24"/>
          <w:szCs w:val="24"/>
          <w:lang w:val="en-GB"/>
        </w:rPr>
        <w:t>(</w:t>
      </w:r>
      <w:r>
        <w:rPr>
          <w:sz w:val="24"/>
          <w:szCs w:val="24"/>
          <w:lang w:val="en-GB"/>
        </w:rPr>
        <w:t>4</w:t>
      </w:r>
      <w:r w:rsidRPr="0036702A">
        <w:rPr>
          <w:sz w:val="24"/>
          <w:szCs w:val="24"/>
          <w:lang w:val="en-GB"/>
        </w:rPr>
        <w:t>)</w:t>
      </w:r>
      <w:r w:rsidRPr="0036702A">
        <w:rPr>
          <w:sz w:val="24"/>
          <w:szCs w:val="24"/>
          <w:lang w:val="en-GB"/>
        </w:rPr>
        <w:tab/>
        <w:t xml:space="preserve">Authorities are not to be provided as an attachment to the email.  </w:t>
      </w:r>
    </w:p>
    <w:p w14:paraId="65A024B4" w14:textId="77777777" w:rsidR="00F936EB" w:rsidRPr="0036702A" w:rsidRDefault="00F936EB" w:rsidP="00F936EB">
      <w:pPr>
        <w:pStyle w:val="Hangindent"/>
        <w:rPr>
          <w:sz w:val="24"/>
          <w:szCs w:val="24"/>
          <w:lang w:val="en-GB"/>
        </w:rPr>
      </w:pPr>
      <w:r w:rsidRPr="0036702A">
        <w:rPr>
          <w:sz w:val="24"/>
          <w:szCs w:val="24"/>
          <w:lang w:val="en-GB"/>
        </w:rPr>
        <w:t>(</w:t>
      </w:r>
      <w:r>
        <w:rPr>
          <w:sz w:val="24"/>
          <w:szCs w:val="24"/>
          <w:lang w:val="en-GB"/>
        </w:rPr>
        <w:t>5</w:t>
      </w:r>
      <w:r w:rsidRPr="0036702A">
        <w:rPr>
          <w:sz w:val="24"/>
          <w:szCs w:val="24"/>
          <w:lang w:val="en-GB"/>
        </w:rPr>
        <w:t>)</w:t>
      </w:r>
      <w:r w:rsidRPr="0036702A">
        <w:rPr>
          <w:sz w:val="24"/>
          <w:szCs w:val="24"/>
          <w:lang w:val="en-GB"/>
        </w:rPr>
        <w:tab/>
        <w:t xml:space="preserve">In every case, a copy of the document lodged by email with the Court is to be </w:t>
      </w:r>
      <w:r>
        <w:rPr>
          <w:sz w:val="24"/>
          <w:szCs w:val="24"/>
          <w:lang w:val="en-GB"/>
        </w:rPr>
        <w:t>sent</w:t>
      </w:r>
      <w:r w:rsidRPr="0036702A">
        <w:rPr>
          <w:sz w:val="24"/>
          <w:szCs w:val="24"/>
          <w:lang w:val="en-GB"/>
        </w:rPr>
        <w:t xml:space="preserve"> simultaneously by email to each other party.  </w:t>
      </w:r>
    </w:p>
    <w:p w14:paraId="4BAD03B4" w14:textId="77777777" w:rsidR="00F936EB" w:rsidRPr="0036702A" w:rsidRDefault="00F936EB" w:rsidP="00F936EB">
      <w:pPr>
        <w:pStyle w:val="Hangindent"/>
        <w:rPr>
          <w:sz w:val="24"/>
          <w:szCs w:val="24"/>
        </w:rPr>
      </w:pPr>
      <w:r>
        <w:rPr>
          <w:sz w:val="24"/>
          <w:szCs w:val="24"/>
        </w:rPr>
        <w:t>(6</w:t>
      </w:r>
      <w:r w:rsidRPr="0036702A">
        <w:rPr>
          <w:sz w:val="24"/>
          <w:szCs w:val="24"/>
        </w:rPr>
        <w:t>)</w:t>
      </w:r>
      <w:r w:rsidRPr="0036702A">
        <w:rPr>
          <w:sz w:val="24"/>
          <w:szCs w:val="24"/>
        </w:rPr>
        <w:tab/>
        <w:t>If an email address for another party is not known and cannot reasonably be ascertained, a hard copy of the document is to be served on the other party no later than 5.00 pm on the same business day as the document is emailed to the Court.</w:t>
      </w:r>
    </w:p>
    <w:p w14:paraId="4773E2F6" w14:textId="77777777" w:rsidR="00F936EB" w:rsidRDefault="00F936EB" w:rsidP="00D32B94">
      <w:pPr>
        <w:pStyle w:val="clausehead"/>
        <w:spacing w:after="120"/>
        <w:rPr>
          <w:lang w:val="en-US"/>
        </w:rPr>
      </w:pPr>
      <w:bookmarkStart w:id="114" w:name="_Toc394312652"/>
      <w:bookmarkStart w:id="115" w:name="_Toc60132415"/>
      <w:bookmarkEnd w:id="92"/>
      <w:bookmarkEnd w:id="93"/>
      <w:r>
        <w:rPr>
          <w:lang w:val="en-US"/>
        </w:rPr>
        <w:t>21—Criminal Registry</w:t>
      </w:r>
      <w:bookmarkEnd w:id="114"/>
      <w:bookmarkEnd w:id="115"/>
    </w:p>
    <w:p w14:paraId="43D6D7A6" w14:textId="77777777" w:rsidR="00F936EB" w:rsidRPr="0036702A" w:rsidRDefault="00F936EB" w:rsidP="00F936EB">
      <w:pPr>
        <w:pStyle w:val="Hangindent"/>
        <w:rPr>
          <w:sz w:val="24"/>
          <w:szCs w:val="24"/>
        </w:rPr>
      </w:pPr>
      <w:r w:rsidRPr="0036702A">
        <w:rPr>
          <w:sz w:val="24"/>
          <w:szCs w:val="24"/>
        </w:rPr>
        <w:t>(1)</w:t>
      </w:r>
      <w:r w:rsidRPr="0036702A">
        <w:rPr>
          <w:sz w:val="24"/>
          <w:szCs w:val="24"/>
        </w:rPr>
        <w:tab/>
        <w:t>The Registry is open for business from 9.30 am to 4.30 pm each day except on Saturdays, Sundays, Public Holidays and the Christmas vacation, which comprises the calendar days between Christmas Day and New Year’s Day.</w:t>
      </w:r>
    </w:p>
    <w:p w14:paraId="241BE4CE" w14:textId="77777777" w:rsidR="00F936EB" w:rsidRPr="0036702A" w:rsidRDefault="00F936EB" w:rsidP="00F936EB">
      <w:pPr>
        <w:pStyle w:val="Hangindent"/>
        <w:rPr>
          <w:sz w:val="24"/>
          <w:szCs w:val="24"/>
        </w:rPr>
      </w:pPr>
      <w:r w:rsidRPr="0036702A">
        <w:rPr>
          <w:sz w:val="24"/>
          <w:szCs w:val="24"/>
        </w:rPr>
        <w:t>(2)</w:t>
      </w:r>
      <w:r>
        <w:rPr>
          <w:sz w:val="24"/>
          <w:szCs w:val="24"/>
        </w:rPr>
        <w:tab/>
        <w:t>If</w:t>
      </w:r>
      <w:r w:rsidRPr="0036702A">
        <w:rPr>
          <w:sz w:val="24"/>
          <w:szCs w:val="24"/>
        </w:rPr>
        <w:t xml:space="preserve"> it is sought to file or lodge a document or arrange for an urgent hearing when the Registry is not open for business, the party should phone the </w:t>
      </w:r>
      <w:proofErr w:type="spellStart"/>
      <w:r w:rsidRPr="0036702A">
        <w:rPr>
          <w:sz w:val="24"/>
          <w:szCs w:val="24"/>
        </w:rPr>
        <w:t>after hours</w:t>
      </w:r>
      <w:proofErr w:type="spellEnd"/>
      <w:r w:rsidRPr="0036702A">
        <w:rPr>
          <w:sz w:val="24"/>
          <w:szCs w:val="24"/>
        </w:rPr>
        <w:t xml:space="preserve"> business number of the Registry ((08)</w:t>
      </w:r>
      <w:r w:rsidR="009E13BA">
        <w:rPr>
          <w:sz w:val="24"/>
          <w:szCs w:val="24"/>
        </w:rPr>
        <w:t xml:space="preserve">  82040289</w:t>
      </w:r>
      <w:r w:rsidRPr="0036702A">
        <w:rPr>
          <w:sz w:val="24"/>
          <w:szCs w:val="24"/>
        </w:rPr>
        <w:t>).  The number will provide the current contact details of the rostered on call officer.  If that officer is satisfied about the urgency of the request, he or she will arrange for the opening of the Registry and/or for a special hearing.</w:t>
      </w:r>
    </w:p>
    <w:p w14:paraId="5D258315" w14:textId="77777777" w:rsidR="00F936EB" w:rsidRPr="0036702A" w:rsidRDefault="00F936EB" w:rsidP="00F936EB">
      <w:pPr>
        <w:pStyle w:val="Hangindent"/>
        <w:rPr>
          <w:sz w:val="24"/>
          <w:szCs w:val="24"/>
        </w:rPr>
      </w:pPr>
      <w:r w:rsidRPr="0036702A">
        <w:rPr>
          <w:sz w:val="24"/>
          <w:szCs w:val="24"/>
        </w:rPr>
        <w:t>(3)</w:t>
      </w:r>
      <w:r w:rsidRPr="0036702A">
        <w:rPr>
          <w:sz w:val="24"/>
          <w:szCs w:val="24"/>
        </w:rPr>
        <w:tab/>
        <w:t>Other than with the prior permission of the Judge, no lawyer or party is to contact a Judge to seek an urgent hearing.</w:t>
      </w:r>
    </w:p>
    <w:p w14:paraId="0322AB14" w14:textId="77777777" w:rsidR="00F936EB" w:rsidRPr="0036702A" w:rsidRDefault="00F936EB" w:rsidP="00F936EB">
      <w:pPr>
        <w:pStyle w:val="Hangindent"/>
        <w:rPr>
          <w:sz w:val="24"/>
          <w:szCs w:val="24"/>
        </w:rPr>
      </w:pPr>
      <w:r w:rsidRPr="0036702A">
        <w:rPr>
          <w:sz w:val="24"/>
          <w:szCs w:val="24"/>
        </w:rPr>
        <w:t>(4)</w:t>
      </w:r>
      <w:r w:rsidRPr="0036702A">
        <w:rPr>
          <w:sz w:val="24"/>
          <w:szCs w:val="24"/>
        </w:rPr>
        <w:tab/>
        <w:t xml:space="preserve">Unless the Rules or these Supplementary Rules otherwise provide or the Court otherwise orders, a party to a proceeding may inspect or obtain copies of documents held on the Court file for that proceeding by an informal request to the Registry.  </w:t>
      </w:r>
    </w:p>
    <w:p w14:paraId="6409C7B3" w14:textId="77777777" w:rsidR="00F936EB" w:rsidRPr="005B0880" w:rsidRDefault="00F936EB" w:rsidP="00F936EB">
      <w:pPr>
        <w:pStyle w:val="Hangindent"/>
        <w:spacing w:before="120"/>
        <w:ind w:left="2727" w:hanging="1309"/>
        <w:jc w:val="both"/>
        <w:rPr>
          <w:sz w:val="20"/>
          <w:szCs w:val="20"/>
          <w:lang w:val="en-GB"/>
        </w:rPr>
      </w:pPr>
      <w:r>
        <w:rPr>
          <w:b/>
          <w:sz w:val="20"/>
          <w:szCs w:val="20"/>
          <w:lang w:val="en-GB"/>
        </w:rPr>
        <w:t>Exception</w:t>
      </w:r>
      <w:r>
        <w:rPr>
          <w:sz w:val="20"/>
          <w:szCs w:val="20"/>
          <w:lang w:val="en-GB"/>
        </w:rPr>
        <w:t>—</w:t>
      </w:r>
    </w:p>
    <w:p w14:paraId="663F0906" w14:textId="77777777" w:rsidR="00F936EB" w:rsidRDefault="00F936EB" w:rsidP="00F936EB">
      <w:pPr>
        <w:pStyle w:val="Hangindent"/>
        <w:spacing w:before="120"/>
        <w:ind w:left="2160" w:firstLine="0"/>
        <w:jc w:val="both"/>
        <w:rPr>
          <w:sz w:val="20"/>
          <w:szCs w:val="20"/>
          <w:lang w:val="en-GB"/>
        </w:rPr>
      </w:pPr>
      <w:r>
        <w:rPr>
          <w:sz w:val="20"/>
          <w:szCs w:val="20"/>
          <w:lang w:val="en-GB"/>
        </w:rPr>
        <w:t>Rule 75</w:t>
      </w:r>
      <w:r w:rsidRPr="005B0880">
        <w:rPr>
          <w:sz w:val="20"/>
          <w:szCs w:val="20"/>
          <w:lang w:val="en-GB"/>
        </w:rPr>
        <w:t xml:space="preserve"> </w:t>
      </w:r>
      <w:r>
        <w:rPr>
          <w:sz w:val="20"/>
          <w:szCs w:val="20"/>
          <w:lang w:val="en-GB"/>
        </w:rPr>
        <w:t xml:space="preserve">of the Rules </w:t>
      </w:r>
      <w:r w:rsidRPr="005B0880">
        <w:rPr>
          <w:sz w:val="20"/>
          <w:szCs w:val="20"/>
          <w:lang w:val="en-GB"/>
        </w:rPr>
        <w:t>imposes special requirements for the inspection and copying of documents produced pursuant to a subpoena.</w:t>
      </w:r>
    </w:p>
    <w:p w14:paraId="1B4A2AB6" w14:textId="77777777" w:rsidR="00F936EB" w:rsidRPr="00750571" w:rsidRDefault="00F936EB" w:rsidP="00F936EB">
      <w:pPr>
        <w:pStyle w:val="Hangindent"/>
        <w:spacing w:before="120"/>
        <w:jc w:val="both"/>
        <w:rPr>
          <w:sz w:val="24"/>
          <w:szCs w:val="24"/>
          <w:lang w:val="en-GB"/>
        </w:rPr>
      </w:pPr>
      <w:r w:rsidRPr="00750571">
        <w:rPr>
          <w:sz w:val="24"/>
          <w:szCs w:val="24"/>
          <w:lang w:val="en-GB"/>
        </w:rPr>
        <w:t>(5)</w:t>
      </w:r>
      <w:r w:rsidRPr="00750571">
        <w:rPr>
          <w:sz w:val="24"/>
          <w:szCs w:val="24"/>
          <w:lang w:val="en-GB"/>
        </w:rPr>
        <w:tab/>
        <w:t xml:space="preserve">When the permission of the Court is required by a member of the public to inspect or obtain a copy of a </w:t>
      </w:r>
      <w:r>
        <w:rPr>
          <w:sz w:val="24"/>
          <w:szCs w:val="24"/>
          <w:lang w:val="en-GB"/>
        </w:rPr>
        <w:t>c</w:t>
      </w:r>
      <w:r w:rsidRPr="00750571">
        <w:rPr>
          <w:sz w:val="24"/>
          <w:szCs w:val="24"/>
          <w:lang w:val="en-GB"/>
        </w:rPr>
        <w:t>ourt record, permission may be sought by letter or email to the Registrar without notice to any party or person interested.</w:t>
      </w:r>
    </w:p>
    <w:p w14:paraId="07554171" w14:textId="77777777" w:rsidR="00F936EB" w:rsidRDefault="00F936EB" w:rsidP="00F936EB">
      <w:pPr>
        <w:pStyle w:val="Part"/>
      </w:pPr>
      <w:bookmarkStart w:id="116" w:name="_Toc394312653"/>
      <w:bookmarkStart w:id="117" w:name="_Toc60132416"/>
      <w:r>
        <w:t>Part 2—Service</w:t>
      </w:r>
      <w:bookmarkEnd w:id="116"/>
      <w:bookmarkEnd w:id="117"/>
    </w:p>
    <w:p w14:paraId="6CBC3DCD" w14:textId="77777777" w:rsidR="00F936EB" w:rsidRDefault="00F936EB" w:rsidP="00D32B94">
      <w:pPr>
        <w:pStyle w:val="clausehead"/>
        <w:spacing w:after="120"/>
        <w:rPr>
          <w:lang w:val="en-US"/>
        </w:rPr>
      </w:pPr>
      <w:bookmarkStart w:id="118" w:name="_Toc394312654"/>
      <w:bookmarkStart w:id="119" w:name="_Toc60132417"/>
      <w:r>
        <w:rPr>
          <w:lang w:val="en-US"/>
        </w:rPr>
        <w:t>22—Address for service</w:t>
      </w:r>
      <w:bookmarkEnd w:id="118"/>
      <w:bookmarkEnd w:id="119"/>
    </w:p>
    <w:p w14:paraId="0C9BD2B1"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 notice of acting and address for service under rule 18(3)(c) or 18(4)(b) of the Rules is to be in form 5A.</w:t>
      </w:r>
    </w:p>
    <w:p w14:paraId="50EE9575" w14:textId="77777777" w:rsidR="00F936EB" w:rsidRPr="0036702A" w:rsidRDefault="00F936EB" w:rsidP="00F936EB">
      <w:pPr>
        <w:pStyle w:val="Hangindent"/>
        <w:rPr>
          <w:sz w:val="24"/>
          <w:szCs w:val="24"/>
        </w:rPr>
      </w:pPr>
      <w:r w:rsidRPr="0036702A">
        <w:rPr>
          <w:sz w:val="24"/>
          <w:szCs w:val="24"/>
        </w:rPr>
        <w:t>(2)</w:t>
      </w:r>
      <w:r w:rsidRPr="0036702A">
        <w:rPr>
          <w:sz w:val="24"/>
          <w:szCs w:val="24"/>
        </w:rPr>
        <w:tab/>
        <w:t>A notice of acting in person and address for service by a party under rule 18(4)(a) of the Rules is to be in form 5B.</w:t>
      </w:r>
    </w:p>
    <w:p w14:paraId="6BE89C71" w14:textId="77777777" w:rsidR="00F936EB" w:rsidRPr="0036702A" w:rsidRDefault="00F936EB" w:rsidP="00F936EB">
      <w:pPr>
        <w:pStyle w:val="Hangindent"/>
        <w:rPr>
          <w:sz w:val="24"/>
          <w:szCs w:val="24"/>
        </w:rPr>
      </w:pPr>
      <w:r w:rsidRPr="0036702A">
        <w:rPr>
          <w:sz w:val="24"/>
          <w:szCs w:val="24"/>
        </w:rPr>
        <w:t>(3)</w:t>
      </w:r>
      <w:r w:rsidRPr="0036702A">
        <w:rPr>
          <w:sz w:val="24"/>
          <w:szCs w:val="24"/>
        </w:rPr>
        <w:tab/>
        <w:t>A notice of change of address for service under rule 33(3) of the Rules is to be in form 6.</w:t>
      </w:r>
    </w:p>
    <w:p w14:paraId="55C68D51" w14:textId="77777777" w:rsidR="00F936EB" w:rsidRDefault="00F936EB" w:rsidP="00F936EB">
      <w:pPr>
        <w:pStyle w:val="Part"/>
      </w:pPr>
      <w:bookmarkStart w:id="120" w:name="_Toc394312655"/>
      <w:bookmarkStart w:id="121" w:name="_Toc60132418"/>
      <w:r>
        <w:lastRenderedPageBreak/>
        <w:t>Part 3—Hearings generally</w:t>
      </w:r>
      <w:bookmarkEnd w:id="120"/>
      <w:bookmarkEnd w:id="121"/>
    </w:p>
    <w:p w14:paraId="3D28366A" w14:textId="77777777" w:rsidR="00F936EB" w:rsidRDefault="00F936EB" w:rsidP="00F936EB">
      <w:pPr>
        <w:pStyle w:val="clausehead"/>
        <w:rPr>
          <w:lang w:val="en-US"/>
        </w:rPr>
      </w:pPr>
      <w:bookmarkStart w:id="122" w:name="_Toc394312656"/>
      <w:bookmarkStart w:id="123" w:name="_Toc60132419"/>
      <w:r>
        <w:rPr>
          <w:lang w:val="en-US"/>
        </w:rPr>
        <w:t>23—Appearance of defendant by audiovisual link</w:t>
      </w:r>
      <w:bookmarkEnd w:id="122"/>
      <w:bookmarkEnd w:id="123"/>
    </w:p>
    <w:p w14:paraId="4ABC601E" w14:textId="77777777" w:rsidR="00F936EB" w:rsidRPr="001653E2" w:rsidRDefault="00F936EB" w:rsidP="00F936EB">
      <w:pPr>
        <w:pStyle w:val="IndentedPara"/>
        <w:rPr>
          <w:sz w:val="24"/>
          <w:szCs w:val="24"/>
        </w:rPr>
      </w:pPr>
      <w:r w:rsidRPr="001653E2">
        <w:rPr>
          <w:sz w:val="24"/>
          <w:szCs w:val="24"/>
        </w:rPr>
        <w:t>Notice of objection to the use of an audiovisual link for a hearing under rule 36(2)(b) of the Rules is to be in form 7.</w:t>
      </w:r>
    </w:p>
    <w:p w14:paraId="37C0300C" w14:textId="77777777" w:rsidR="00F936EB" w:rsidRPr="00D32B94" w:rsidRDefault="00F936EB" w:rsidP="00D32B94">
      <w:pPr>
        <w:pStyle w:val="clausehead"/>
        <w:spacing w:after="120"/>
        <w:rPr>
          <w:lang w:val="en-US"/>
        </w:rPr>
      </w:pPr>
      <w:bookmarkStart w:id="124" w:name="_Toc385334745"/>
      <w:bookmarkStart w:id="125" w:name="_Toc388265132"/>
      <w:bookmarkStart w:id="126" w:name="_Toc394312657"/>
      <w:bookmarkStart w:id="127" w:name="_Toc60132420"/>
      <w:r w:rsidRPr="00D32B94">
        <w:rPr>
          <w:lang w:val="en-US"/>
        </w:rPr>
        <w:t>24—Addressing Judges</w:t>
      </w:r>
      <w:bookmarkEnd w:id="124"/>
      <w:bookmarkEnd w:id="125"/>
      <w:bookmarkEnd w:id="126"/>
      <w:bookmarkEnd w:id="127"/>
    </w:p>
    <w:p w14:paraId="63000B55" w14:textId="77777777" w:rsidR="00F936EB" w:rsidRPr="0036702A" w:rsidRDefault="00F936EB" w:rsidP="00F936EB">
      <w:pPr>
        <w:pStyle w:val="Hangindent"/>
        <w:rPr>
          <w:sz w:val="24"/>
          <w:szCs w:val="24"/>
        </w:rPr>
      </w:pPr>
      <w:r w:rsidRPr="0036702A">
        <w:rPr>
          <w:sz w:val="24"/>
          <w:szCs w:val="24"/>
        </w:rPr>
        <w:t>(1)</w:t>
      </w:r>
      <w:r w:rsidRPr="0036702A">
        <w:rPr>
          <w:sz w:val="24"/>
          <w:szCs w:val="24"/>
        </w:rPr>
        <w:tab/>
        <w:t>In Court—</w:t>
      </w:r>
    </w:p>
    <w:p w14:paraId="13BFA6F4" w14:textId="77777777" w:rsidR="00F936EB" w:rsidRPr="00987967" w:rsidRDefault="00F936EB" w:rsidP="00F936EB">
      <w:pPr>
        <w:pStyle w:val="Doublehangingindent"/>
        <w:rPr>
          <w:sz w:val="24"/>
          <w:szCs w:val="24"/>
        </w:rPr>
      </w:pPr>
      <w:r>
        <w:rPr>
          <w:sz w:val="24"/>
          <w:szCs w:val="24"/>
        </w:rPr>
        <w:t>(a)</w:t>
      </w:r>
      <w:r>
        <w:rPr>
          <w:sz w:val="24"/>
          <w:szCs w:val="24"/>
        </w:rPr>
        <w:tab/>
      </w:r>
      <w:r w:rsidRPr="00987967">
        <w:rPr>
          <w:sz w:val="24"/>
          <w:szCs w:val="24"/>
        </w:rPr>
        <w:t xml:space="preserve">the Chief </w:t>
      </w:r>
      <w:r>
        <w:rPr>
          <w:sz w:val="24"/>
          <w:szCs w:val="24"/>
        </w:rPr>
        <w:t>Judge</w:t>
      </w:r>
      <w:r w:rsidRPr="00987967">
        <w:rPr>
          <w:sz w:val="24"/>
          <w:szCs w:val="24"/>
        </w:rPr>
        <w:t xml:space="preserve"> of the Court is to be addressed and referred to by the title Chief </w:t>
      </w:r>
      <w:r>
        <w:rPr>
          <w:sz w:val="24"/>
          <w:szCs w:val="24"/>
        </w:rPr>
        <w:t>Judge</w:t>
      </w:r>
      <w:r w:rsidRPr="00987967">
        <w:rPr>
          <w:sz w:val="24"/>
          <w:szCs w:val="24"/>
        </w:rPr>
        <w:t xml:space="preserve">, </w:t>
      </w:r>
      <w:proofErr w:type="spellStart"/>
      <w:r w:rsidRPr="00987967">
        <w:rPr>
          <w:sz w:val="24"/>
          <w:szCs w:val="24"/>
        </w:rPr>
        <w:t>eg</w:t>
      </w:r>
      <w:proofErr w:type="spellEnd"/>
      <w:r w:rsidRPr="00987967">
        <w:rPr>
          <w:sz w:val="24"/>
          <w:szCs w:val="24"/>
        </w:rPr>
        <w:t xml:space="preserve"> “Chief </w:t>
      </w:r>
      <w:r>
        <w:rPr>
          <w:sz w:val="24"/>
          <w:szCs w:val="24"/>
        </w:rPr>
        <w:t>Judge</w:t>
      </w:r>
      <w:r w:rsidRPr="00987967">
        <w:rPr>
          <w:sz w:val="24"/>
          <w:szCs w:val="24"/>
        </w:rPr>
        <w:t xml:space="preserve"> Smith” and as “Your/</w:t>
      </w:r>
      <w:proofErr w:type="spellStart"/>
      <w:r w:rsidRPr="00987967">
        <w:rPr>
          <w:sz w:val="24"/>
          <w:szCs w:val="24"/>
        </w:rPr>
        <w:t>His/Her</w:t>
      </w:r>
      <w:proofErr w:type="spellEnd"/>
      <w:r w:rsidRPr="00987967">
        <w:rPr>
          <w:sz w:val="24"/>
          <w:szCs w:val="24"/>
        </w:rPr>
        <w:t xml:space="preserve"> Honour”;</w:t>
      </w:r>
    </w:p>
    <w:p w14:paraId="3A74A7C5" w14:textId="77777777" w:rsidR="00F936EB" w:rsidRPr="00987967" w:rsidRDefault="00F936EB" w:rsidP="00F936EB">
      <w:pPr>
        <w:pStyle w:val="Doublehangingindent"/>
        <w:rPr>
          <w:sz w:val="24"/>
          <w:szCs w:val="24"/>
        </w:rPr>
      </w:pPr>
      <w:r>
        <w:rPr>
          <w:sz w:val="24"/>
          <w:szCs w:val="24"/>
        </w:rPr>
        <w:t>(b)</w:t>
      </w:r>
      <w:r>
        <w:rPr>
          <w:sz w:val="24"/>
          <w:szCs w:val="24"/>
        </w:rPr>
        <w:tab/>
      </w:r>
      <w:r w:rsidRPr="00987967">
        <w:rPr>
          <w:sz w:val="24"/>
          <w:szCs w:val="24"/>
        </w:rPr>
        <w:t xml:space="preserve">a Judge of the Court is to be addressed and referred to by the title </w:t>
      </w:r>
      <w:r>
        <w:rPr>
          <w:sz w:val="24"/>
          <w:szCs w:val="24"/>
        </w:rPr>
        <w:t>Judge</w:t>
      </w:r>
      <w:r w:rsidRPr="00987967">
        <w:rPr>
          <w:sz w:val="24"/>
          <w:szCs w:val="24"/>
        </w:rPr>
        <w:t xml:space="preserve">, </w:t>
      </w:r>
      <w:proofErr w:type="spellStart"/>
      <w:r w:rsidRPr="00987967">
        <w:rPr>
          <w:sz w:val="24"/>
          <w:szCs w:val="24"/>
        </w:rPr>
        <w:t>eg</w:t>
      </w:r>
      <w:proofErr w:type="spellEnd"/>
      <w:r w:rsidRPr="00987967">
        <w:rPr>
          <w:sz w:val="24"/>
          <w:szCs w:val="24"/>
        </w:rPr>
        <w:t xml:space="preserve"> “</w:t>
      </w:r>
      <w:r>
        <w:rPr>
          <w:sz w:val="24"/>
          <w:szCs w:val="24"/>
        </w:rPr>
        <w:t>Judge</w:t>
      </w:r>
      <w:r w:rsidRPr="00987967">
        <w:rPr>
          <w:sz w:val="24"/>
          <w:szCs w:val="24"/>
        </w:rPr>
        <w:t xml:space="preserve"> Brown” and as “Your/</w:t>
      </w:r>
      <w:proofErr w:type="spellStart"/>
      <w:r w:rsidRPr="00987967">
        <w:rPr>
          <w:sz w:val="24"/>
          <w:szCs w:val="24"/>
        </w:rPr>
        <w:t>His/Her</w:t>
      </w:r>
      <w:proofErr w:type="spellEnd"/>
      <w:r w:rsidRPr="00987967">
        <w:rPr>
          <w:sz w:val="24"/>
          <w:szCs w:val="24"/>
        </w:rPr>
        <w:t xml:space="preserve"> Honour”.</w:t>
      </w:r>
    </w:p>
    <w:p w14:paraId="28551532" w14:textId="77777777" w:rsidR="00F936EB" w:rsidRPr="0036702A" w:rsidRDefault="00CB1E6F" w:rsidP="00F936EB">
      <w:pPr>
        <w:pStyle w:val="Hangindent"/>
        <w:rPr>
          <w:sz w:val="24"/>
          <w:szCs w:val="24"/>
        </w:rPr>
      </w:pPr>
      <w:r w:rsidRPr="00CB1E6F">
        <w:rPr>
          <w:sz w:val="24"/>
          <w:szCs w:val="24"/>
        </w:rPr>
        <w:t>(2)</w:t>
      </w:r>
      <w:r w:rsidRPr="00CB1E6F">
        <w:rPr>
          <w:sz w:val="24"/>
          <w:szCs w:val="24"/>
        </w:rPr>
        <w:tab/>
        <w:t>In documents filed or used in the Court and in correspondence, a Judge of the Court is to be referred to as “The Chief Judge….” or as “Judge….” as the case may be.</w:t>
      </w:r>
    </w:p>
    <w:p w14:paraId="631AF6D4" w14:textId="77777777" w:rsidR="00F936EB" w:rsidRDefault="00F936EB" w:rsidP="00D32B94">
      <w:pPr>
        <w:pStyle w:val="clausehead"/>
        <w:spacing w:after="120"/>
        <w:rPr>
          <w:lang w:val="en-US"/>
        </w:rPr>
      </w:pPr>
      <w:bookmarkStart w:id="128" w:name="_Toc394312658"/>
      <w:bookmarkStart w:id="129" w:name="_Toc60132421"/>
      <w:r>
        <w:rPr>
          <w:lang w:val="en-US"/>
        </w:rPr>
        <w:t>25—Barristers’ attire</w:t>
      </w:r>
      <w:bookmarkEnd w:id="128"/>
      <w:bookmarkEnd w:id="129"/>
    </w:p>
    <w:p w14:paraId="1C7C10CA" w14:textId="77777777" w:rsidR="00F936EB" w:rsidRPr="0036702A" w:rsidRDefault="00F936EB" w:rsidP="00F936EB">
      <w:pPr>
        <w:pStyle w:val="Hangindent"/>
        <w:rPr>
          <w:sz w:val="24"/>
          <w:szCs w:val="24"/>
        </w:rPr>
      </w:pPr>
      <w:r w:rsidRPr="0036702A">
        <w:rPr>
          <w:sz w:val="24"/>
          <w:szCs w:val="24"/>
        </w:rPr>
        <w:t>(1)</w:t>
      </w:r>
      <w:r w:rsidRPr="0036702A">
        <w:rPr>
          <w:sz w:val="24"/>
          <w:szCs w:val="24"/>
        </w:rPr>
        <w:tab/>
        <w:t>The dress of a barrister appearing in court is to be black court coat or bar jacket, white jabot and gown (silk for Queen’s Counsel and Senior Counsel and stuff for junior counsel), dark trousers for men and dark skirt or slacks/trousers for women.  As an alternative to the jabot, white bands may be worn with white shirt and winged collar.</w:t>
      </w:r>
    </w:p>
    <w:p w14:paraId="406ACABD" w14:textId="77777777" w:rsidR="00F936EB" w:rsidRPr="0036702A" w:rsidRDefault="00F936EB" w:rsidP="00F936EB">
      <w:pPr>
        <w:pStyle w:val="Hangindent"/>
        <w:rPr>
          <w:sz w:val="24"/>
          <w:szCs w:val="24"/>
        </w:rPr>
      </w:pPr>
      <w:r w:rsidRPr="0036702A">
        <w:rPr>
          <w:sz w:val="24"/>
          <w:szCs w:val="24"/>
        </w:rPr>
        <w:t>(2)</w:t>
      </w:r>
      <w:r w:rsidRPr="0036702A">
        <w:rPr>
          <w:sz w:val="24"/>
          <w:szCs w:val="24"/>
        </w:rPr>
        <w:tab/>
        <w:t>Wigs will be worn when the Court is hearing criminal proceedings (</w:t>
      </w:r>
      <w:r w:rsidR="00FC6D29">
        <w:rPr>
          <w:sz w:val="24"/>
          <w:szCs w:val="24"/>
        </w:rPr>
        <w:t xml:space="preserve">not </w:t>
      </w:r>
      <w:r w:rsidRPr="0036702A">
        <w:rPr>
          <w:sz w:val="24"/>
          <w:szCs w:val="24"/>
        </w:rPr>
        <w:t xml:space="preserve">including appeals). </w:t>
      </w:r>
    </w:p>
    <w:p w14:paraId="5BF099D0" w14:textId="77777777" w:rsidR="00F936EB" w:rsidRPr="0036702A" w:rsidRDefault="00F936EB" w:rsidP="00F936EB">
      <w:pPr>
        <w:pStyle w:val="Hangindent"/>
        <w:rPr>
          <w:sz w:val="24"/>
          <w:szCs w:val="24"/>
        </w:rPr>
      </w:pPr>
      <w:r w:rsidRPr="0036702A">
        <w:rPr>
          <w:sz w:val="24"/>
          <w:szCs w:val="24"/>
        </w:rPr>
        <w:t>(3)</w:t>
      </w:r>
      <w:r w:rsidRPr="0036702A">
        <w:rPr>
          <w:sz w:val="24"/>
          <w:szCs w:val="24"/>
        </w:rPr>
        <w:tab/>
        <w:t>Barrister’s attire is not required for directions hearings or for any other matter not heard in open court.</w:t>
      </w:r>
    </w:p>
    <w:p w14:paraId="3849A2A5" w14:textId="77777777" w:rsidR="00F936EB" w:rsidRPr="0036702A" w:rsidRDefault="00F936EB" w:rsidP="00F936EB">
      <w:pPr>
        <w:pStyle w:val="Hangindent"/>
        <w:rPr>
          <w:sz w:val="24"/>
          <w:szCs w:val="24"/>
        </w:rPr>
      </w:pPr>
      <w:r w:rsidRPr="0036702A">
        <w:rPr>
          <w:sz w:val="24"/>
          <w:szCs w:val="24"/>
        </w:rPr>
        <w:t>(4)</w:t>
      </w:r>
      <w:r w:rsidRPr="0036702A">
        <w:rPr>
          <w:sz w:val="24"/>
          <w:szCs w:val="24"/>
        </w:rPr>
        <w:tab/>
        <w:t>A barrister’s attire is at all times to be in a clean and neat condition.</w:t>
      </w:r>
    </w:p>
    <w:p w14:paraId="7BF164DC" w14:textId="77777777" w:rsidR="00F936EB" w:rsidRPr="001D7032" w:rsidRDefault="00F936EB" w:rsidP="00F936EB">
      <w:pPr>
        <w:pStyle w:val="clausehead"/>
      </w:pPr>
      <w:bookmarkStart w:id="130" w:name="_Toc142211695"/>
      <w:bookmarkStart w:id="131" w:name="_Toc142731809"/>
      <w:bookmarkStart w:id="132" w:name="_Toc383702393"/>
      <w:bookmarkStart w:id="133" w:name="_Toc383702930"/>
      <w:bookmarkStart w:id="134" w:name="_Toc385334747"/>
      <w:bookmarkStart w:id="135" w:name="_Toc393880103"/>
      <w:bookmarkStart w:id="136" w:name="_Toc60132422"/>
      <w:r>
        <w:t>26</w:t>
      </w:r>
      <w:r w:rsidRPr="001D7032">
        <w:t>—Noting of appearances of counsel and solicitors</w:t>
      </w:r>
      <w:bookmarkEnd w:id="130"/>
      <w:bookmarkEnd w:id="131"/>
      <w:bookmarkEnd w:id="132"/>
      <w:bookmarkEnd w:id="133"/>
      <w:bookmarkEnd w:id="134"/>
      <w:bookmarkEnd w:id="135"/>
      <w:bookmarkEnd w:id="136"/>
    </w:p>
    <w:p w14:paraId="76B752B7" w14:textId="77777777" w:rsidR="00F936EB" w:rsidRPr="00750571" w:rsidRDefault="00F936EB" w:rsidP="00F936EB">
      <w:pPr>
        <w:pStyle w:val="IndentedPara"/>
        <w:jc w:val="both"/>
        <w:rPr>
          <w:sz w:val="24"/>
          <w:szCs w:val="24"/>
        </w:rPr>
      </w:pPr>
      <w:r w:rsidRPr="00750571">
        <w:rPr>
          <w:sz w:val="24"/>
          <w:szCs w:val="24"/>
        </w:rPr>
        <w:t xml:space="preserve">The counsel or solicitor appearing in a case listed before the Court is to inform the </w:t>
      </w:r>
      <w:r>
        <w:rPr>
          <w:sz w:val="24"/>
          <w:szCs w:val="24"/>
        </w:rPr>
        <w:t xml:space="preserve">Judge’s </w:t>
      </w:r>
      <w:r w:rsidRPr="00750571">
        <w:rPr>
          <w:sz w:val="24"/>
          <w:szCs w:val="24"/>
        </w:rPr>
        <w:t>associate before the hearing of his or her name, the party for w</w:t>
      </w:r>
      <w:r>
        <w:rPr>
          <w:sz w:val="24"/>
          <w:szCs w:val="24"/>
        </w:rPr>
        <w:t>hom he or she appears and, when</w:t>
      </w:r>
      <w:r w:rsidRPr="00750571">
        <w:rPr>
          <w:sz w:val="24"/>
          <w:szCs w:val="24"/>
        </w:rPr>
        <w:t xml:space="preserve"> applicable, the name of his or her instructing solicitor.  </w:t>
      </w:r>
    </w:p>
    <w:p w14:paraId="71ED2DFD" w14:textId="77777777" w:rsidR="00F936EB" w:rsidRPr="00D32B94" w:rsidRDefault="00F936EB" w:rsidP="00D32B94">
      <w:pPr>
        <w:pStyle w:val="clausehead"/>
        <w:spacing w:after="120"/>
        <w:rPr>
          <w:lang w:val="en-US"/>
        </w:rPr>
      </w:pPr>
      <w:bookmarkStart w:id="137" w:name="_Toc60132423"/>
      <w:r w:rsidRPr="00D32B94">
        <w:rPr>
          <w:lang w:val="en-US"/>
        </w:rPr>
        <w:t>27—Interpreters in court</w:t>
      </w:r>
      <w:bookmarkEnd w:id="137"/>
    </w:p>
    <w:p w14:paraId="330A3853"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An interpreting service to the Courts is provided by the Interpreting and Translation Centre, a branch of the Office of Multicultural &amp; Ethnic Affairs.</w:t>
      </w:r>
    </w:p>
    <w:p w14:paraId="2A1F93E8" w14:textId="77777777" w:rsidR="00F936EB" w:rsidRPr="0036702A" w:rsidRDefault="00F936EB" w:rsidP="00F936EB">
      <w:pPr>
        <w:pStyle w:val="Hangindent"/>
        <w:rPr>
          <w:sz w:val="24"/>
          <w:szCs w:val="24"/>
        </w:rPr>
      </w:pPr>
      <w:r w:rsidRPr="0036702A">
        <w:rPr>
          <w:sz w:val="24"/>
          <w:szCs w:val="24"/>
        </w:rPr>
        <w:t>(2)</w:t>
      </w:r>
      <w:r w:rsidRPr="0036702A">
        <w:rPr>
          <w:sz w:val="24"/>
          <w:szCs w:val="24"/>
        </w:rPr>
        <w:tab/>
        <w:t xml:space="preserve">The service provides interpreting facilities during court hearings for persons accused of criminal offences and witnesses giving evidence.  </w:t>
      </w:r>
    </w:p>
    <w:p w14:paraId="1879F743" w14:textId="77777777" w:rsidR="00F936EB" w:rsidRPr="0036702A" w:rsidRDefault="00F936EB" w:rsidP="00F936EB">
      <w:pPr>
        <w:pStyle w:val="Hangindent"/>
        <w:rPr>
          <w:sz w:val="24"/>
          <w:szCs w:val="24"/>
        </w:rPr>
      </w:pPr>
      <w:r w:rsidRPr="0036702A">
        <w:rPr>
          <w:sz w:val="24"/>
          <w:szCs w:val="24"/>
        </w:rPr>
        <w:t>(3)</w:t>
      </w:r>
      <w:r w:rsidRPr="0036702A">
        <w:rPr>
          <w:sz w:val="24"/>
          <w:szCs w:val="24"/>
        </w:rPr>
        <w:tab/>
        <w:t>The service does not provide interpreters for lawyers taking instructions from clients or for parties to communicate with their lawyers.</w:t>
      </w:r>
    </w:p>
    <w:p w14:paraId="1A0F7FDD" w14:textId="77777777" w:rsidR="00F936EB" w:rsidRPr="0036702A" w:rsidRDefault="00F936EB" w:rsidP="00F936EB">
      <w:pPr>
        <w:pStyle w:val="Hangindent"/>
        <w:rPr>
          <w:sz w:val="24"/>
          <w:szCs w:val="24"/>
        </w:rPr>
      </w:pPr>
      <w:r w:rsidRPr="0036702A">
        <w:rPr>
          <w:sz w:val="24"/>
          <w:szCs w:val="24"/>
        </w:rPr>
        <w:t>(4)</w:t>
      </w:r>
      <w:r w:rsidRPr="0036702A">
        <w:rPr>
          <w:sz w:val="24"/>
          <w:szCs w:val="24"/>
        </w:rPr>
        <w:tab/>
        <w:t>A lawyer or self-represented party is to notify the listing section of the Court of the requirement for interpreting services at</w:t>
      </w:r>
      <w:r>
        <w:rPr>
          <w:sz w:val="24"/>
          <w:szCs w:val="24"/>
        </w:rPr>
        <w:t xml:space="preserve"> a</w:t>
      </w:r>
      <w:r w:rsidRPr="0036702A">
        <w:rPr>
          <w:sz w:val="24"/>
          <w:szCs w:val="24"/>
        </w:rPr>
        <w:t xml:space="preserve"> directions hearing or trial at the earliest possible time to allow the maximum possible time for arrangements to be </w:t>
      </w:r>
      <w:r>
        <w:rPr>
          <w:sz w:val="24"/>
          <w:szCs w:val="24"/>
        </w:rPr>
        <w:t>made</w:t>
      </w:r>
      <w:r w:rsidRPr="0036702A">
        <w:rPr>
          <w:sz w:val="24"/>
          <w:szCs w:val="24"/>
        </w:rPr>
        <w:t>.</w:t>
      </w:r>
    </w:p>
    <w:p w14:paraId="5FA8EF70" w14:textId="77777777" w:rsidR="00F936EB" w:rsidRPr="00D32B94" w:rsidRDefault="00F936EB" w:rsidP="00D32B94">
      <w:pPr>
        <w:pStyle w:val="clausehead"/>
        <w:spacing w:after="120"/>
        <w:rPr>
          <w:lang w:val="en-US"/>
        </w:rPr>
      </w:pPr>
      <w:bookmarkStart w:id="138" w:name="_Toc385334750"/>
      <w:bookmarkStart w:id="139" w:name="_Toc393880106"/>
      <w:bookmarkStart w:id="140" w:name="_Toc60132424"/>
      <w:r w:rsidRPr="00D32B94">
        <w:rPr>
          <w:lang w:val="en-US"/>
        </w:rPr>
        <w:lastRenderedPageBreak/>
        <w:t>28—Copies of authorities</w:t>
      </w:r>
      <w:bookmarkEnd w:id="138"/>
      <w:bookmarkEnd w:id="139"/>
      <w:bookmarkEnd w:id="140"/>
    </w:p>
    <w:p w14:paraId="6EF697B1" w14:textId="77777777" w:rsidR="00F936EB" w:rsidRPr="0036702A" w:rsidRDefault="00F936EB" w:rsidP="00F936EB">
      <w:pPr>
        <w:pStyle w:val="Hangindent"/>
        <w:rPr>
          <w:sz w:val="24"/>
          <w:szCs w:val="24"/>
          <w:lang w:val="en-GB"/>
        </w:rPr>
      </w:pPr>
      <w:r w:rsidRPr="0036702A">
        <w:rPr>
          <w:sz w:val="24"/>
          <w:szCs w:val="24"/>
          <w:lang w:val="en-GB"/>
        </w:rPr>
        <w:t>(1)</w:t>
      </w:r>
      <w:r w:rsidRPr="0036702A">
        <w:rPr>
          <w:sz w:val="24"/>
          <w:szCs w:val="24"/>
          <w:lang w:val="en-GB"/>
        </w:rPr>
        <w:tab/>
        <w:t xml:space="preserve">The Court discourages the provision of hard copies of authorities readily available in the </w:t>
      </w:r>
      <w:r>
        <w:rPr>
          <w:sz w:val="24"/>
          <w:szCs w:val="24"/>
          <w:lang w:val="en-GB"/>
        </w:rPr>
        <w:t xml:space="preserve">District </w:t>
      </w:r>
      <w:r w:rsidRPr="0036702A">
        <w:rPr>
          <w:sz w:val="24"/>
          <w:szCs w:val="24"/>
          <w:lang w:val="en-GB"/>
        </w:rPr>
        <w:t xml:space="preserve">Court library or available electronically.  </w:t>
      </w:r>
    </w:p>
    <w:p w14:paraId="052652BF" w14:textId="77777777" w:rsidR="00F936EB" w:rsidRPr="0036702A" w:rsidRDefault="00F936EB" w:rsidP="00F936EB">
      <w:pPr>
        <w:pStyle w:val="Hangindent"/>
        <w:rPr>
          <w:sz w:val="24"/>
          <w:szCs w:val="24"/>
        </w:rPr>
      </w:pPr>
      <w:r w:rsidRPr="0036702A">
        <w:rPr>
          <w:sz w:val="24"/>
          <w:szCs w:val="24"/>
          <w:lang w:val="en-GB"/>
        </w:rPr>
        <w:t>(2)</w:t>
      </w:r>
      <w:r w:rsidRPr="0036702A">
        <w:rPr>
          <w:sz w:val="24"/>
          <w:szCs w:val="24"/>
          <w:lang w:val="en-GB"/>
        </w:rPr>
        <w:tab/>
        <w:t xml:space="preserve">Unless the client consents or the Court so directs, the cost of copying such authorities is not to be charged to the client.  </w:t>
      </w:r>
      <w:r w:rsidRPr="0036702A">
        <w:rPr>
          <w:sz w:val="24"/>
          <w:szCs w:val="24"/>
        </w:rPr>
        <w:t xml:space="preserve">  </w:t>
      </w:r>
    </w:p>
    <w:p w14:paraId="2A411D2A" w14:textId="77777777" w:rsidR="00F936EB" w:rsidRPr="0036702A" w:rsidRDefault="00F936EB" w:rsidP="00F936EB">
      <w:pPr>
        <w:pStyle w:val="Hangindent"/>
        <w:rPr>
          <w:sz w:val="24"/>
          <w:szCs w:val="24"/>
          <w:lang w:val="en-GB"/>
        </w:rPr>
      </w:pPr>
      <w:r w:rsidRPr="0036702A">
        <w:rPr>
          <w:sz w:val="24"/>
          <w:szCs w:val="24"/>
          <w:lang w:val="en-GB"/>
        </w:rPr>
        <w:t>(3)</w:t>
      </w:r>
      <w:r w:rsidRPr="0036702A">
        <w:rPr>
          <w:sz w:val="24"/>
          <w:szCs w:val="24"/>
          <w:lang w:val="en-GB"/>
        </w:rPr>
        <w:tab/>
        <w:t xml:space="preserve">Notwithstanding paragraph (1), if a party proposes to rely on an authority not contained in the list of authorities, the party should provide a hard copy to the Court and to any other parties.  </w:t>
      </w:r>
    </w:p>
    <w:p w14:paraId="1F089B71" w14:textId="77777777" w:rsidR="00F936EB" w:rsidRPr="0036702A" w:rsidRDefault="00F936EB" w:rsidP="00F936EB">
      <w:pPr>
        <w:pStyle w:val="Hangindent"/>
        <w:rPr>
          <w:sz w:val="24"/>
          <w:szCs w:val="24"/>
        </w:rPr>
      </w:pPr>
      <w:r w:rsidRPr="0036702A">
        <w:rPr>
          <w:sz w:val="24"/>
          <w:szCs w:val="24"/>
        </w:rPr>
        <w:t>(4)</w:t>
      </w:r>
      <w:r w:rsidRPr="0036702A">
        <w:rPr>
          <w:sz w:val="24"/>
          <w:szCs w:val="24"/>
        </w:rPr>
        <w:tab/>
      </w:r>
      <w:r w:rsidRPr="0036702A">
        <w:rPr>
          <w:sz w:val="24"/>
          <w:szCs w:val="24"/>
          <w:lang w:val="en-GB"/>
        </w:rPr>
        <w:t>Unless the client consents or the Court so directs, the cost of copying such authorities is not to be charged to the client.</w:t>
      </w:r>
    </w:p>
    <w:p w14:paraId="284006F5" w14:textId="77777777" w:rsidR="00F936EB" w:rsidRPr="0036702A" w:rsidRDefault="00F936EB" w:rsidP="00F936EB">
      <w:pPr>
        <w:pStyle w:val="Hangindent"/>
        <w:rPr>
          <w:sz w:val="24"/>
          <w:szCs w:val="24"/>
        </w:rPr>
      </w:pPr>
      <w:bookmarkStart w:id="141" w:name="_Toc385334751"/>
      <w:bookmarkStart w:id="142" w:name="_Toc393880107"/>
      <w:r w:rsidRPr="0036702A">
        <w:rPr>
          <w:sz w:val="24"/>
          <w:szCs w:val="24"/>
        </w:rPr>
        <w:t>(5)</w:t>
      </w:r>
      <w:r w:rsidRPr="0036702A">
        <w:rPr>
          <w:sz w:val="24"/>
          <w:szCs w:val="24"/>
        </w:rPr>
        <w:tab/>
        <w:t>Only in exceptional cases should a hard copy of an authority in Part II of the list of authorities be provided to the Court.</w:t>
      </w:r>
    </w:p>
    <w:p w14:paraId="3B57B4BA" w14:textId="77777777" w:rsidR="00F936EB" w:rsidRPr="00D32B94" w:rsidRDefault="00F936EB" w:rsidP="00D32B94">
      <w:pPr>
        <w:pStyle w:val="clausehead"/>
        <w:spacing w:after="120"/>
        <w:rPr>
          <w:lang w:val="en-US"/>
        </w:rPr>
      </w:pPr>
      <w:bookmarkStart w:id="143" w:name="_Toc60132425"/>
      <w:r w:rsidRPr="00D32B94">
        <w:rPr>
          <w:lang w:val="en-US"/>
        </w:rPr>
        <w:t>29—Information for reporters</w:t>
      </w:r>
      <w:bookmarkEnd w:id="141"/>
      <w:bookmarkEnd w:id="142"/>
      <w:bookmarkEnd w:id="143"/>
    </w:p>
    <w:p w14:paraId="2EBD279A" w14:textId="77777777" w:rsidR="00F936EB" w:rsidRPr="0036702A" w:rsidRDefault="00F936EB" w:rsidP="00F936EB">
      <w:pPr>
        <w:pStyle w:val="Hangindent"/>
        <w:rPr>
          <w:sz w:val="24"/>
          <w:szCs w:val="24"/>
        </w:rPr>
      </w:pPr>
      <w:r w:rsidRPr="0036702A">
        <w:rPr>
          <w:sz w:val="24"/>
          <w:szCs w:val="24"/>
        </w:rPr>
        <w:t>(1)</w:t>
      </w:r>
      <w:r w:rsidRPr="0036702A">
        <w:rPr>
          <w:sz w:val="24"/>
          <w:szCs w:val="24"/>
        </w:rPr>
        <w:tab/>
        <w:t>A party is to give a copy of any list of authorities, or summary of argument when there is no list of authorities, to the reporters in court before commencement of the hearing to ensure the reporters have the correct details for any authority cited during the hearing.</w:t>
      </w:r>
    </w:p>
    <w:p w14:paraId="29A5053B" w14:textId="77777777" w:rsidR="00F936EB" w:rsidRPr="0036702A" w:rsidRDefault="00F936EB" w:rsidP="00F936EB">
      <w:pPr>
        <w:pStyle w:val="Hangindent"/>
        <w:rPr>
          <w:sz w:val="24"/>
          <w:szCs w:val="24"/>
        </w:rPr>
      </w:pPr>
      <w:r w:rsidRPr="0036702A">
        <w:rPr>
          <w:sz w:val="24"/>
          <w:szCs w:val="24"/>
        </w:rPr>
        <w:t>(2)</w:t>
      </w:r>
      <w:r w:rsidRPr="0036702A">
        <w:rPr>
          <w:sz w:val="24"/>
          <w:szCs w:val="24"/>
        </w:rPr>
        <w:tab/>
        <w:t>A party calling a witness is to give the name of the witness to the reporters in court before the witness is called.</w:t>
      </w:r>
    </w:p>
    <w:p w14:paraId="3AC66A72" w14:textId="77777777" w:rsidR="00F936EB" w:rsidRPr="00D32B94" w:rsidRDefault="00F936EB" w:rsidP="00D32B94">
      <w:pPr>
        <w:pStyle w:val="clausehead"/>
        <w:spacing w:after="120"/>
        <w:rPr>
          <w:lang w:val="en-US"/>
        </w:rPr>
      </w:pPr>
      <w:bookmarkStart w:id="144" w:name="_Toc385334752"/>
      <w:bookmarkStart w:id="145" w:name="_Toc393880108"/>
      <w:bookmarkStart w:id="146" w:name="_Toc60132426"/>
      <w:r w:rsidRPr="00D32B94">
        <w:rPr>
          <w:lang w:val="en-US"/>
        </w:rPr>
        <w:t>30—Record of proceedings</w:t>
      </w:r>
      <w:bookmarkEnd w:id="144"/>
      <w:bookmarkEnd w:id="145"/>
      <w:bookmarkEnd w:id="146"/>
    </w:p>
    <w:p w14:paraId="68EE723A" w14:textId="77777777" w:rsidR="00F936EB" w:rsidRPr="0036702A" w:rsidRDefault="00F936EB" w:rsidP="00F936EB">
      <w:pPr>
        <w:pStyle w:val="Hangindent"/>
        <w:rPr>
          <w:sz w:val="24"/>
          <w:szCs w:val="24"/>
        </w:rPr>
      </w:pPr>
      <w:r w:rsidRPr="00750571">
        <w:t>(</w:t>
      </w:r>
      <w:r w:rsidRPr="0036702A">
        <w:rPr>
          <w:sz w:val="24"/>
          <w:szCs w:val="24"/>
        </w:rPr>
        <w:t>1)</w:t>
      </w:r>
      <w:r w:rsidRPr="0036702A">
        <w:rPr>
          <w:sz w:val="24"/>
          <w:szCs w:val="24"/>
        </w:rPr>
        <w:tab/>
        <w:t xml:space="preserve">As soon as practicable after a judicial officer has pronounced an order or direction, its contents are to be entered into the Court’s computer system.  </w:t>
      </w:r>
    </w:p>
    <w:p w14:paraId="1EA0FA9B" w14:textId="77777777" w:rsidR="00F936EB" w:rsidRPr="0036702A" w:rsidRDefault="00F936EB" w:rsidP="00F936EB">
      <w:pPr>
        <w:pStyle w:val="Hangindent"/>
        <w:rPr>
          <w:sz w:val="24"/>
          <w:szCs w:val="24"/>
        </w:rPr>
      </w:pPr>
      <w:r w:rsidRPr="0036702A">
        <w:rPr>
          <w:sz w:val="24"/>
          <w:szCs w:val="24"/>
        </w:rPr>
        <w:t>(2)</w:t>
      </w:r>
      <w:r w:rsidRPr="0036702A">
        <w:rPr>
          <w:sz w:val="24"/>
          <w:szCs w:val="24"/>
        </w:rPr>
        <w:tab/>
        <w:t>A hard copy as signed by the judicial officer, the associate or a person delegated by the judicial officer for that purpose is to be placed onto a hard copy court file.</w:t>
      </w:r>
    </w:p>
    <w:p w14:paraId="20BAD67D" w14:textId="77777777" w:rsidR="00F936EB" w:rsidRPr="001F3E6F" w:rsidRDefault="00F936EB" w:rsidP="00F936EB">
      <w:pPr>
        <w:pStyle w:val="Part"/>
      </w:pPr>
      <w:bookmarkStart w:id="147" w:name="_Toc396143779"/>
      <w:bookmarkStart w:id="148" w:name="_Toc60132427"/>
      <w:r w:rsidRPr="001F3E6F">
        <w:t>Part 4—Hearings for interstate courts</w:t>
      </w:r>
      <w:bookmarkEnd w:id="147"/>
      <w:bookmarkEnd w:id="148"/>
    </w:p>
    <w:p w14:paraId="3AC34C82"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715ADB8F" w14:textId="77777777" w:rsidR="00F936EB" w:rsidRDefault="00F936EB" w:rsidP="00F936EB">
      <w:pPr>
        <w:spacing w:after="0" w:line="240" w:lineRule="auto"/>
        <w:rPr>
          <w:sz w:val="24"/>
          <w:szCs w:val="24"/>
        </w:rPr>
      </w:pPr>
      <w:r>
        <w:rPr>
          <w:sz w:val="24"/>
          <w:szCs w:val="24"/>
        </w:rPr>
        <w:br w:type="page"/>
      </w:r>
    </w:p>
    <w:p w14:paraId="45A5EFF7" w14:textId="77777777" w:rsidR="00F936EB" w:rsidRPr="000A3D4D" w:rsidRDefault="00F936EB" w:rsidP="00F936EB">
      <w:pPr>
        <w:pStyle w:val="Chapter"/>
      </w:pPr>
      <w:bookmarkStart w:id="149" w:name="_Toc391026217"/>
      <w:bookmarkStart w:id="150" w:name="_Toc394312659"/>
      <w:bookmarkStart w:id="151" w:name="_Toc60132428"/>
      <w:r>
        <w:lastRenderedPageBreak/>
        <w:t>Chapter 5—Election for trial by Judge alone</w:t>
      </w:r>
      <w:bookmarkEnd w:id="149"/>
      <w:bookmarkEnd w:id="150"/>
      <w:bookmarkEnd w:id="151"/>
    </w:p>
    <w:p w14:paraId="09F3A9AE" w14:textId="77777777" w:rsidR="00F936EB" w:rsidRPr="00D32B94" w:rsidRDefault="00F936EB" w:rsidP="00D32B94">
      <w:pPr>
        <w:pStyle w:val="clausehead"/>
        <w:spacing w:after="120"/>
        <w:rPr>
          <w:lang w:val="en-US"/>
        </w:rPr>
      </w:pPr>
      <w:bookmarkStart w:id="152" w:name="_Toc394312660"/>
      <w:bookmarkStart w:id="153" w:name="_Toc60132429"/>
      <w:r w:rsidRPr="00D32B94">
        <w:rPr>
          <w:lang w:val="en-US"/>
        </w:rPr>
        <w:t>31—Manner of making election</w:t>
      </w:r>
      <w:bookmarkEnd w:id="152"/>
      <w:bookmarkEnd w:id="153"/>
    </w:p>
    <w:p w14:paraId="63C12E9B" w14:textId="77777777" w:rsidR="00F936EB" w:rsidRPr="004E35EF" w:rsidRDefault="00F936EB" w:rsidP="00F936EB">
      <w:pPr>
        <w:pStyle w:val="Hangindent"/>
        <w:rPr>
          <w:sz w:val="24"/>
          <w:szCs w:val="24"/>
        </w:rPr>
      </w:pPr>
      <w:r w:rsidRPr="004E35EF">
        <w:rPr>
          <w:sz w:val="24"/>
          <w:szCs w:val="24"/>
        </w:rPr>
        <w:t>(1)</w:t>
      </w:r>
      <w:r w:rsidRPr="004E35EF">
        <w:rPr>
          <w:sz w:val="24"/>
          <w:szCs w:val="24"/>
        </w:rPr>
        <w:tab/>
        <w:t>An election for trial by Judge alone made by a defendant under rule 40(1) of the Rules is to be in form 8A.</w:t>
      </w:r>
    </w:p>
    <w:p w14:paraId="0525EB92" w14:textId="77777777" w:rsidR="00F936EB" w:rsidRPr="004E35EF" w:rsidRDefault="00F936EB" w:rsidP="00F936EB">
      <w:pPr>
        <w:pStyle w:val="Hangindent"/>
        <w:rPr>
          <w:sz w:val="24"/>
          <w:szCs w:val="24"/>
        </w:rPr>
      </w:pPr>
      <w:r w:rsidRPr="004E35EF">
        <w:rPr>
          <w:sz w:val="24"/>
          <w:szCs w:val="24"/>
        </w:rPr>
        <w:t>(2)</w:t>
      </w:r>
      <w:r w:rsidRPr="004E35EF">
        <w:rPr>
          <w:sz w:val="24"/>
          <w:szCs w:val="24"/>
        </w:rPr>
        <w:tab/>
        <w:t>An election for trial by Judge alone made by counsel under rule 40(2) of the Rules is to be in form 8B.</w:t>
      </w:r>
    </w:p>
    <w:p w14:paraId="1ACAEBCD" w14:textId="77777777" w:rsidR="00F936EB" w:rsidRDefault="00F936EB" w:rsidP="00F936EB">
      <w:pPr>
        <w:pStyle w:val="clausehead"/>
      </w:pPr>
      <w:bookmarkStart w:id="154" w:name="_Toc394312661"/>
      <w:bookmarkStart w:id="155" w:name="_Toc60132430"/>
      <w:r>
        <w:t>32—Practitioner’s certificate</w:t>
      </w:r>
      <w:bookmarkEnd w:id="154"/>
      <w:bookmarkEnd w:id="155"/>
    </w:p>
    <w:p w14:paraId="75C4CDF1" w14:textId="77777777" w:rsidR="00F936EB" w:rsidRDefault="00F936EB" w:rsidP="00F936EB">
      <w:pPr>
        <w:pStyle w:val="Hangindent"/>
        <w:spacing w:before="120"/>
        <w:ind w:left="851" w:firstLine="0"/>
        <w:jc w:val="both"/>
        <w:rPr>
          <w:sz w:val="24"/>
          <w:szCs w:val="24"/>
        </w:rPr>
      </w:pPr>
      <w:r w:rsidRPr="00750571">
        <w:rPr>
          <w:sz w:val="24"/>
          <w:szCs w:val="24"/>
        </w:rPr>
        <w:t xml:space="preserve">A practitioner’s certificate under rule 41(2) </w:t>
      </w:r>
      <w:r>
        <w:rPr>
          <w:sz w:val="24"/>
          <w:szCs w:val="24"/>
        </w:rPr>
        <w:t xml:space="preserve">or 44(2) </w:t>
      </w:r>
      <w:r w:rsidRPr="00750571">
        <w:rPr>
          <w:sz w:val="24"/>
          <w:szCs w:val="24"/>
        </w:rPr>
        <w:t>of the Rules is to be in form 9.</w:t>
      </w:r>
    </w:p>
    <w:p w14:paraId="1A1D98C7" w14:textId="77777777" w:rsidR="00F936EB" w:rsidRDefault="00F936EB" w:rsidP="00F936EB">
      <w:pPr>
        <w:pStyle w:val="clausehead"/>
      </w:pPr>
      <w:bookmarkStart w:id="156" w:name="_Toc394312662"/>
      <w:bookmarkStart w:id="157" w:name="_Toc60132431"/>
      <w:r>
        <w:t>33—Revocation of election</w:t>
      </w:r>
      <w:bookmarkEnd w:id="156"/>
      <w:bookmarkEnd w:id="157"/>
    </w:p>
    <w:p w14:paraId="7C7AD871" w14:textId="77777777" w:rsidR="00F936EB" w:rsidRDefault="00F936EB" w:rsidP="00F936EB">
      <w:pPr>
        <w:pStyle w:val="Hangindent"/>
        <w:spacing w:before="120"/>
        <w:ind w:left="851" w:firstLine="0"/>
        <w:jc w:val="both"/>
        <w:rPr>
          <w:sz w:val="24"/>
          <w:szCs w:val="24"/>
          <w:lang w:val="en-US"/>
        </w:rPr>
      </w:pPr>
      <w:r w:rsidRPr="00750571">
        <w:rPr>
          <w:sz w:val="24"/>
          <w:szCs w:val="24"/>
          <w:lang w:val="en-US"/>
        </w:rPr>
        <w:t>A revocation of election for trial by Judge alone made by a defendant under rule 44(2) of the Rules is to be in form 10.</w:t>
      </w:r>
    </w:p>
    <w:p w14:paraId="0FCE5234" w14:textId="77777777" w:rsidR="00F936EB" w:rsidRDefault="00F936EB" w:rsidP="00F936EB">
      <w:pPr>
        <w:spacing w:after="0" w:line="240" w:lineRule="auto"/>
        <w:rPr>
          <w:sz w:val="24"/>
          <w:szCs w:val="24"/>
          <w:lang w:val="en-US"/>
        </w:rPr>
      </w:pPr>
      <w:r>
        <w:rPr>
          <w:sz w:val="24"/>
          <w:szCs w:val="24"/>
          <w:lang w:val="en-US"/>
        </w:rPr>
        <w:br w:type="page"/>
      </w:r>
    </w:p>
    <w:p w14:paraId="79343EC6" w14:textId="77777777" w:rsidR="00F936EB" w:rsidRDefault="00F936EB" w:rsidP="00F936EB">
      <w:pPr>
        <w:pStyle w:val="Chapter"/>
      </w:pPr>
      <w:bookmarkStart w:id="158" w:name="_Toc394312663"/>
      <w:bookmarkStart w:id="159" w:name="_Toc60132432"/>
      <w:r>
        <w:lastRenderedPageBreak/>
        <w:t>Chapter 6—Pre-trial applications and directions</w:t>
      </w:r>
      <w:bookmarkEnd w:id="158"/>
      <w:bookmarkEnd w:id="159"/>
    </w:p>
    <w:p w14:paraId="6459205F" w14:textId="77777777" w:rsidR="00F936EB" w:rsidRDefault="00F936EB" w:rsidP="00F936EB">
      <w:pPr>
        <w:pStyle w:val="Part"/>
      </w:pPr>
      <w:bookmarkStart w:id="160" w:name="_Toc394312664"/>
      <w:bookmarkStart w:id="161" w:name="_Toc60132433"/>
      <w:r>
        <w:t>Part 1—Matters before first directions hearing</w:t>
      </w:r>
      <w:bookmarkEnd w:id="160"/>
      <w:bookmarkEnd w:id="161"/>
    </w:p>
    <w:p w14:paraId="4A3BD2D3" w14:textId="77777777" w:rsidR="00F936EB" w:rsidRDefault="00F936EB" w:rsidP="00D32B94">
      <w:pPr>
        <w:pStyle w:val="clausehead"/>
        <w:spacing w:after="120"/>
        <w:rPr>
          <w:lang w:val="en-US"/>
        </w:rPr>
      </w:pPr>
      <w:bookmarkStart w:id="162" w:name="_Toc394312665"/>
      <w:bookmarkStart w:id="163" w:name="_Toc60132434"/>
      <w:r>
        <w:rPr>
          <w:lang w:val="en-US"/>
        </w:rPr>
        <w:t>34—Representation of defendants</w:t>
      </w:r>
      <w:bookmarkEnd w:id="162"/>
      <w:bookmarkEnd w:id="163"/>
    </w:p>
    <w:p w14:paraId="7413BB38" w14:textId="77777777" w:rsidR="00F936EB" w:rsidRPr="004E35EF" w:rsidRDefault="00F936EB" w:rsidP="00F936EB">
      <w:pPr>
        <w:pStyle w:val="Hangindent"/>
        <w:rPr>
          <w:sz w:val="24"/>
          <w:szCs w:val="24"/>
        </w:rPr>
      </w:pPr>
      <w:r w:rsidRPr="004E35EF">
        <w:rPr>
          <w:sz w:val="24"/>
          <w:szCs w:val="24"/>
        </w:rPr>
        <w:t>(1)</w:t>
      </w:r>
      <w:r w:rsidRPr="004E35EF">
        <w:rPr>
          <w:sz w:val="24"/>
          <w:szCs w:val="24"/>
        </w:rPr>
        <w:tab/>
        <w:t>A legal representation certificate under rule 46(2) of the Rules is to be in form 11.</w:t>
      </w:r>
    </w:p>
    <w:p w14:paraId="340259FE" w14:textId="77777777" w:rsidR="00F936EB" w:rsidRDefault="00F936EB" w:rsidP="00F936EB">
      <w:pPr>
        <w:pStyle w:val="Hangindent"/>
        <w:rPr>
          <w:sz w:val="24"/>
          <w:szCs w:val="24"/>
        </w:rPr>
      </w:pPr>
      <w:r w:rsidRPr="004E35EF">
        <w:rPr>
          <w:sz w:val="24"/>
          <w:szCs w:val="24"/>
        </w:rPr>
        <w:t>(2)</w:t>
      </w:r>
      <w:r w:rsidRPr="004E35EF">
        <w:rPr>
          <w:sz w:val="24"/>
          <w:szCs w:val="24"/>
        </w:rPr>
        <w:tab/>
        <w:t>A written assurance under rule 46(3) of the Rules is to be in form 12.</w:t>
      </w:r>
    </w:p>
    <w:p w14:paraId="0074F445" w14:textId="77777777" w:rsidR="007B003A" w:rsidRDefault="007B003A" w:rsidP="00F936EB">
      <w:pPr>
        <w:pStyle w:val="Hangindent"/>
        <w:rPr>
          <w:sz w:val="24"/>
          <w:szCs w:val="24"/>
        </w:rPr>
      </w:pPr>
      <w:r w:rsidRPr="007B003A">
        <w:rPr>
          <w:sz w:val="24"/>
          <w:szCs w:val="24"/>
        </w:rPr>
        <w:t>(3)</w:t>
      </w:r>
      <w:r w:rsidRPr="007B003A">
        <w:rPr>
          <w:sz w:val="24"/>
          <w:szCs w:val="24"/>
        </w:rPr>
        <w:tab/>
        <w:t>A trial preparation statement under rule 47(2) of the Rules is to be in form 11A.</w:t>
      </w:r>
    </w:p>
    <w:p w14:paraId="21CB98AA" w14:textId="77777777" w:rsidR="00266C5D" w:rsidRPr="00266C5D" w:rsidRDefault="00266C5D" w:rsidP="0045051C">
      <w:pPr>
        <w:pStyle w:val="clausehead"/>
        <w:spacing w:after="120"/>
        <w:rPr>
          <w:lang w:val="en-US"/>
        </w:rPr>
      </w:pPr>
      <w:bookmarkStart w:id="164" w:name="_Toc60132435"/>
      <w:r w:rsidRPr="00266C5D">
        <w:rPr>
          <w:lang w:val="en-US"/>
        </w:rPr>
        <w:t>34A—First Directions Hearing</w:t>
      </w:r>
      <w:bookmarkEnd w:id="164"/>
    </w:p>
    <w:p w14:paraId="67017A70" w14:textId="77777777" w:rsidR="00266C5D" w:rsidRPr="00266C5D" w:rsidRDefault="00266C5D" w:rsidP="00266C5D">
      <w:pPr>
        <w:pStyle w:val="Hangindent"/>
        <w:rPr>
          <w:sz w:val="24"/>
          <w:szCs w:val="24"/>
        </w:rPr>
      </w:pPr>
      <w:r w:rsidRPr="00266C5D">
        <w:rPr>
          <w:rFonts w:eastAsia="Times New Roman"/>
          <w:sz w:val="24"/>
          <w:szCs w:val="24"/>
          <w:lang w:val="en-US"/>
        </w:rPr>
        <w:t>(</w:t>
      </w:r>
      <w:r w:rsidRPr="00266C5D">
        <w:rPr>
          <w:sz w:val="24"/>
          <w:szCs w:val="24"/>
        </w:rPr>
        <w:t>1)</w:t>
      </w:r>
      <w:r w:rsidRPr="00266C5D">
        <w:rPr>
          <w:sz w:val="24"/>
          <w:szCs w:val="24"/>
        </w:rPr>
        <w:tab/>
        <w:t>A First Directions Hearing – Call Over will be convened when the proceeding has been referred upon arraignment to a First Directions Hearing – Call Over under rule 27.</w:t>
      </w:r>
    </w:p>
    <w:p w14:paraId="3EC2FD42" w14:textId="77777777" w:rsidR="00266C5D" w:rsidRPr="00266C5D" w:rsidRDefault="00266C5D" w:rsidP="00266C5D">
      <w:pPr>
        <w:pStyle w:val="Hangindent"/>
        <w:rPr>
          <w:sz w:val="24"/>
          <w:szCs w:val="24"/>
        </w:rPr>
      </w:pPr>
      <w:r w:rsidRPr="00266C5D">
        <w:rPr>
          <w:sz w:val="24"/>
          <w:szCs w:val="24"/>
        </w:rPr>
        <w:t>(2)</w:t>
      </w:r>
      <w:r w:rsidRPr="00266C5D">
        <w:rPr>
          <w:sz w:val="24"/>
          <w:szCs w:val="24"/>
        </w:rPr>
        <w:tab/>
        <w:t>The First Directions Hearing – Call Over will usually be listed 10 weeks after arraignment.</w:t>
      </w:r>
    </w:p>
    <w:p w14:paraId="597A919C" w14:textId="77777777" w:rsidR="00266C5D" w:rsidRDefault="00266C5D" w:rsidP="00266C5D">
      <w:pPr>
        <w:pStyle w:val="Hangindent"/>
        <w:rPr>
          <w:sz w:val="24"/>
          <w:szCs w:val="24"/>
        </w:rPr>
      </w:pPr>
      <w:r w:rsidRPr="00266C5D">
        <w:rPr>
          <w:sz w:val="24"/>
          <w:szCs w:val="24"/>
        </w:rPr>
        <w:t>(3)</w:t>
      </w:r>
      <w:r w:rsidRPr="00266C5D">
        <w:rPr>
          <w:sz w:val="24"/>
          <w:szCs w:val="24"/>
        </w:rPr>
        <w:tab/>
        <w:t xml:space="preserve">The First Directions Hearings – Call Over will usually be listed on a Wednesday morning at 9.00 am to 10.00 am. </w:t>
      </w:r>
    </w:p>
    <w:p w14:paraId="4761C4EA" w14:textId="77777777" w:rsidR="00684A9C" w:rsidRPr="00266C5D" w:rsidRDefault="00684A9C" w:rsidP="00266C5D">
      <w:pPr>
        <w:pStyle w:val="Hangindent"/>
        <w:rPr>
          <w:sz w:val="24"/>
          <w:szCs w:val="24"/>
        </w:rPr>
      </w:pPr>
      <w:r w:rsidRPr="00E112A5">
        <w:rPr>
          <w:sz w:val="24"/>
          <w:szCs w:val="24"/>
        </w:rPr>
        <w:t>(4)</w:t>
      </w:r>
      <w:r w:rsidRPr="00E112A5">
        <w:rPr>
          <w:sz w:val="24"/>
          <w:szCs w:val="24"/>
        </w:rPr>
        <w:tab/>
        <w:t>If a trial preparation statement has been filed in the approved form and the parties agree, the Court may in its discretion cancel the first directions hearing.</w:t>
      </w:r>
    </w:p>
    <w:p w14:paraId="0CCC1C4D" w14:textId="77777777" w:rsidR="00266C5D" w:rsidRPr="00266C5D" w:rsidRDefault="00266C5D" w:rsidP="0045051C">
      <w:pPr>
        <w:pStyle w:val="clausehead"/>
        <w:spacing w:after="120"/>
        <w:rPr>
          <w:lang w:val="en-US"/>
        </w:rPr>
      </w:pPr>
      <w:bookmarkStart w:id="165" w:name="_Toc60132436"/>
      <w:r w:rsidRPr="00266C5D">
        <w:rPr>
          <w:lang w:val="en-US"/>
        </w:rPr>
        <w:t>34B—Second Directions Hearing</w:t>
      </w:r>
      <w:bookmarkEnd w:id="165"/>
    </w:p>
    <w:p w14:paraId="306BE9F9" w14:textId="77777777" w:rsidR="00266C5D" w:rsidRPr="00266C5D" w:rsidRDefault="00266C5D" w:rsidP="00266C5D">
      <w:pPr>
        <w:pStyle w:val="Hangindent"/>
        <w:rPr>
          <w:sz w:val="24"/>
          <w:szCs w:val="24"/>
        </w:rPr>
      </w:pPr>
      <w:r w:rsidRPr="00266C5D">
        <w:rPr>
          <w:sz w:val="24"/>
          <w:szCs w:val="24"/>
        </w:rPr>
        <w:t>(1)</w:t>
      </w:r>
      <w:r w:rsidRPr="00266C5D">
        <w:rPr>
          <w:sz w:val="24"/>
          <w:szCs w:val="24"/>
        </w:rPr>
        <w:tab/>
        <w:t>A Second Directions Hearing – Call Over will be convened when the proceeding has been referred to a Second Directions Hearing – Call Over from a First Directions Hearing – Call Over.</w:t>
      </w:r>
    </w:p>
    <w:p w14:paraId="36FBB6F2" w14:textId="77777777" w:rsidR="00266C5D" w:rsidRPr="00266C5D" w:rsidRDefault="00266C5D" w:rsidP="00266C5D">
      <w:pPr>
        <w:pStyle w:val="Hangindent"/>
        <w:rPr>
          <w:sz w:val="24"/>
          <w:szCs w:val="24"/>
        </w:rPr>
      </w:pPr>
      <w:r w:rsidRPr="00266C5D">
        <w:rPr>
          <w:sz w:val="24"/>
          <w:szCs w:val="24"/>
        </w:rPr>
        <w:t>(2)</w:t>
      </w:r>
      <w:r w:rsidRPr="00266C5D">
        <w:rPr>
          <w:sz w:val="24"/>
          <w:szCs w:val="24"/>
        </w:rPr>
        <w:tab/>
        <w:t>The Second Directions Hearing – Call Over will usually be listed 4 weeks before the trial date.</w:t>
      </w:r>
    </w:p>
    <w:p w14:paraId="71A6324F" w14:textId="77777777" w:rsidR="00266C5D" w:rsidRPr="00266C5D" w:rsidRDefault="00266C5D" w:rsidP="00266C5D">
      <w:pPr>
        <w:pStyle w:val="Hangindent"/>
        <w:rPr>
          <w:sz w:val="24"/>
          <w:szCs w:val="24"/>
        </w:rPr>
      </w:pPr>
      <w:r w:rsidRPr="00266C5D">
        <w:rPr>
          <w:sz w:val="24"/>
          <w:szCs w:val="24"/>
        </w:rPr>
        <w:t>(3)</w:t>
      </w:r>
      <w:r w:rsidRPr="00266C5D">
        <w:rPr>
          <w:sz w:val="24"/>
          <w:szCs w:val="24"/>
        </w:rPr>
        <w:tab/>
        <w:t>The Second Directions Hearings – Call Over will usually be listed on the last sitting day of the week at 10.00 am.</w:t>
      </w:r>
    </w:p>
    <w:p w14:paraId="0FE4FD15" w14:textId="77777777" w:rsidR="00266C5D" w:rsidRPr="00266C5D" w:rsidRDefault="00266C5D" w:rsidP="0045051C">
      <w:pPr>
        <w:pStyle w:val="clausehead"/>
        <w:spacing w:after="120"/>
        <w:rPr>
          <w:lang w:val="en-US"/>
        </w:rPr>
      </w:pPr>
      <w:bookmarkStart w:id="166" w:name="_Toc60132437"/>
      <w:r w:rsidRPr="00266C5D">
        <w:rPr>
          <w:lang w:val="en-US"/>
        </w:rPr>
        <w:t>34C—Pre-trial directions hearing</w:t>
      </w:r>
      <w:bookmarkEnd w:id="166"/>
    </w:p>
    <w:p w14:paraId="199EB4D3" w14:textId="77777777" w:rsidR="00266C5D" w:rsidRPr="00266C5D" w:rsidRDefault="00266C5D" w:rsidP="00266C5D">
      <w:pPr>
        <w:pStyle w:val="Hangindent"/>
        <w:rPr>
          <w:sz w:val="24"/>
          <w:szCs w:val="24"/>
        </w:rPr>
      </w:pPr>
      <w:r w:rsidRPr="00266C5D">
        <w:rPr>
          <w:sz w:val="24"/>
          <w:szCs w:val="24"/>
        </w:rPr>
        <w:t>(1)</w:t>
      </w:r>
      <w:r w:rsidRPr="00266C5D">
        <w:rPr>
          <w:sz w:val="24"/>
          <w:szCs w:val="24"/>
        </w:rPr>
        <w:tab/>
        <w:t>A pre-trial directions hearing will usually be convened by the trial Judge or in exceptional circumstances by another Judge.</w:t>
      </w:r>
    </w:p>
    <w:p w14:paraId="788BBDC5" w14:textId="77777777" w:rsidR="00266C5D" w:rsidRPr="00266C5D" w:rsidRDefault="00266C5D" w:rsidP="00266C5D">
      <w:pPr>
        <w:pStyle w:val="Hangindent"/>
        <w:rPr>
          <w:sz w:val="24"/>
          <w:szCs w:val="24"/>
        </w:rPr>
      </w:pPr>
      <w:r w:rsidRPr="00266C5D">
        <w:rPr>
          <w:sz w:val="24"/>
          <w:szCs w:val="24"/>
        </w:rPr>
        <w:t>(2)</w:t>
      </w:r>
      <w:r w:rsidRPr="00266C5D">
        <w:rPr>
          <w:sz w:val="24"/>
          <w:szCs w:val="24"/>
        </w:rPr>
        <w:tab/>
        <w:t>The pre-trial directions hearing will usually be convened 10 business days before the trial date or at a time convenient to the trial Judge.</w:t>
      </w:r>
    </w:p>
    <w:p w14:paraId="23FC1479" w14:textId="77777777" w:rsidR="00266C5D" w:rsidRPr="00266C5D" w:rsidRDefault="00266C5D" w:rsidP="00266C5D">
      <w:pPr>
        <w:pStyle w:val="Hangindent"/>
        <w:rPr>
          <w:sz w:val="24"/>
          <w:szCs w:val="24"/>
        </w:rPr>
      </w:pPr>
      <w:r w:rsidRPr="00266C5D">
        <w:rPr>
          <w:sz w:val="24"/>
          <w:szCs w:val="24"/>
        </w:rPr>
        <w:t>(3)</w:t>
      </w:r>
      <w:r w:rsidRPr="00266C5D">
        <w:rPr>
          <w:sz w:val="24"/>
          <w:szCs w:val="24"/>
        </w:rPr>
        <w:tab/>
        <w:t>A pre-trial directions hearing will usually be listed at 9.00 am to 10.00 am.</w:t>
      </w:r>
    </w:p>
    <w:p w14:paraId="18AA1AA2" w14:textId="77777777" w:rsidR="00266C5D" w:rsidRDefault="00266C5D" w:rsidP="00266C5D">
      <w:pPr>
        <w:pStyle w:val="Hangindent"/>
        <w:rPr>
          <w:sz w:val="24"/>
          <w:szCs w:val="24"/>
        </w:rPr>
      </w:pPr>
      <w:r w:rsidRPr="00266C5D">
        <w:rPr>
          <w:sz w:val="24"/>
          <w:szCs w:val="24"/>
        </w:rPr>
        <w:t>(4)</w:t>
      </w:r>
      <w:r w:rsidRPr="00266C5D">
        <w:rPr>
          <w:sz w:val="24"/>
          <w:szCs w:val="24"/>
        </w:rPr>
        <w:tab/>
        <w:t>Pre-Trial Directions Hearings will generally be listed 10 business days before the trial date, subject to the convenience of the trial Judge - unless the trial Judge is unavailable and then at the convenience of the Court.</w:t>
      </w:r>
    </w:p>
    <w:p w14:paraId="50CC86ED" w14:textId="77777777" w:rsidR="00F936EB" w:rsidRDefault="00F936EB" w:rsidP="00684A9C">
      <w:pPr>
        <w:pStyle w:val="clausehead"/>
        <w:spacing w:before="0"/>
        <w:rPr>
          <w:lang w:val="en-US"/>
        </w:rPr>
      </w:pPr>
      <w:bookmarkStart w:id="167" w:name="_Toc394312666"/>
      <w:bookmarkStart w:id="168" w:name="_Toc60132438"/>
      <w:r>
        <w:rPr>
          <w:lang w:val="en-US"/>
        </w:rPr>
        <w:lastRenderedPageBreak/>
        <w:t>35—</w:t>
      </w:r>
      <w:r w:rsidR="00266C5D">
        <w:rPr>
          <w:lang w:val="en-US"/>
        </w:rPr>
        <w:t>***********************************************************</w:t>
      </w:r>
      <w:bookmarkEnd w:id="167"/>
      <w:r w:rsidR="00266C5D">
        <w:rPr>
          <w:lang w:val="en-US"/>
        </w:rPr>
        <w:t>******</w:t>
      </w:r>
      <w:bookmarkEnd w:id="168"/>
    </w:p>
    <w:p w14:paraId="14A07604" w14:textId="77777777" w:rsidR="00F936EB" w:rsidRDefault="00F936EB" w:rsidP="00F936EB">
      <w:pPr>
        <w:pStyle w:val="Part"/>
      </w:pPr>
      <w:bookmarkStart w:id="169" w:name="_Toc391026230"/>
      <w:bookmarkStart w:id="170" w:name="_Toc394312667"/>
      <w:bookmarkStart w:id="171" w:name="_Toc60132439"/>
      <w:r>
        <w:t>Part 2—Convening directions hearings</w:t>
      </w:r>
      <w:bookmarkEnd w:id="169"/>
      <w:bookmarkEnd w:id="170"/>
      <w:bookmarkEnd w:id="171"/>
    </w:p>
    <w:p w14:paraId="6ADC3138" w14:textId="77777777" w:rsidR="00F936EB" w:rsidRPr="00750571" w:rsidRDefault="00F936EB" w:rsidP="00F936EB">
      <w:pPr>
        <w:pStyle w:val="IndentedPara"/>
        <w:rPr>
          <w:sz w:val="24"/>
          <w:szCs w:val="24"/>
        </w:rPr>
      </w:pPr>
      <w:r w:rsidRPr="00750571">
        <w:rPr>
          <w:sz w:val="24"/>
          <w:szCs w:val="24"/>
        </w:rPr>
        <w:t>[</w:t>
      </w:r>
      <w:r w:rsidRPr="00750571">
        <w:rPr>
          <w:i/>
          <w:sz w:val="24"/>
          <w:szCs w:val="24"/>
        </w:rPr>
        <w:t>no supplementary rules</w:t>
      </w:r>
      <w:r w:rsidRPr="00750571">
        <w:rPr>
          <w:sz w:val="24"/>
          <w:szCs w:val="24"/>
        </w:rPr>
        <w:t>]</w:t>
      </w:r>
    </w:p>
    <w:p w14:paraId="1C593346" w14:textId="77777777" w:rsidR="00F936EB" w:rsidRDefault="00F936EB" w:rsidP="00F936EB">
      <w:pPr>
        <w:pStyle w:val="Part"/>
      </w:pPr>
      <w:bookmarkStart w:id="172" w:name="_Toc394312668"/>
      <w:bookmarkStart w:id="173" w:name="_Toc60132440"/>
      <w:r>
        <w:t>Part 3—Pre-trial applications</w:t>
      </w:r>
      <w:bookmarkEnd w:id="172"/>
      <w:bookmarkEnd w:id="173"/>
    </w:p>
    <w:p w14:paraId="2510B6B5" w14:textId="77777777" w:rsidR="00F936EB" w:rsidRDefault="00F936EB" w:rsidP="00D32B94">
      <w:pPr>
        <w:pStyle w:val="clausehead"/>
        <w:spacing w:after="120"/>
        <w:rPr>
          <w:lang w:val="en-US"/>
        </w:rPr>
      </w:pPr>
      <w:bookmarkStart w:id="174" w:name="_Toc394312669"/>
      <w:bookmarkStart w:id="175" w:name="_Toc60132441"/>
      <w:r>
        <w:rPr>
          <w:lang w:val="en-US"/>
        </w:rPr>
        <w:t>36—Written applications</w:t>
      </w:r>
      <w:bookmarkEnd w:id="174"/>
      <w:bookmarkEnd w:id="175"/>
    </w:p>
    <w:p w14:paraId="0D3E1307" w14:textId="77777777" w:rsidR="00F936EB" w:rsidRPr="004E35EF" w:rsidRDefault="00F936EB" w:rsidP="00F936EB">
      <w:pPr>
        <w:pStyle w:val="Hangindent"/>
        <w:rPr>
          <w:sz w:val="24"/>
          <w:szCs w:val="24"/>
        </w:rPr>
      </w:pPr>
      <w:r w:rsidRPr="004E35EF">
        <w:rPr>
          <w:sz w:val="24"/>
          <w:szCs w:val="24"/>
        </w:rPr>
        <w:t>(1)</w:t>
      </w:r>
      <w:r w:rsidRPr="004E35EF">
        <w:rPr>
          <w:sz w:val="24"/>
          <w:szCs w:val="24"/>
        </w:rPr>
        <w:tab/>
        <w:t xml:space="preserve">An application for directions under rule 49(1) of the Rules is to be in form 13. </w:t>
      </w:r>
    </w:p>
    <w:p w14:paraId="216C9BC8" w14:textId="77777777" w:rsidR="00F936EB" w:rsidRDefault="00F936EB" w:rsidP="00F936EB">
      <w:pPr>
        <w:pStyle w:val="Hangindent"/>
        <w:rPr>
          <w:sz w:val="24"/>
          <w:szCs w:val="24"/>
        </w:rPr>
      </w:pPr>
      <w:r w:rsidRPr="004E35EF">
        <w:rPr>
          <w:sz w:val="24"/>
          <w:szCs w:val="24"/>
        </w:rPr>
        <w:t>(2)</w:t>
      </w:r>
      <w:r w:rsidRPr="004E35EF">
        <w:rPr>
          <w:sz w:val="24"/>
          <w:szCs w:val="24"/>
        </w:rPr>
        <w:tab/>
        <w:t xml:space="preserve">A written application for directions to adduce evidence or make submissions by </w:t>
      </w:r>
      <w:proofErr w:type="spellStart"/>
      <w:r w:rsidRPr="004E35EF">
        <w:rPr>
          <w:sz w:val="24"/>
          <w:szCs w:val="24"/>
        </w:rPr>
        <w:t>audiovisual</w:t>
      </w:r>
      <w:proofErr w:type="spellEnd"/>
      <w:r w:rsidRPr="004E35EF">
        <w:rPr>
          <w:sz w:val="24"/>
          <w:szCs w:val="24"/>
        </w:rPr>
        <w:t xml:space="preserve"> means under rule 49(1)(</w:t>
      </w:r>
      <w:proofErr w:type="spellStart"/>
      <w:r w:rsidRPr="004E35EF">
        <w:rPr>
          <w:sz w:val="24"/>
          <w:szCs w:val="24"/>
        </w:rPr>
        <w:t>i</w:t>
      </w:r>
      <w:proofErr w:type="spellEnd"/>
      <w:r w:rsidRPr="004E35EF">
        <w:rPr>
          <w:sz w:val="24"/>
          <w:szCs w:val="24"/>
        </w:rPr>
        <w:t>) of the Rules is to be in form 14.</w:t>
      </w:r>
    </w:p>
    <w:p w14:paraId="63EB5533" w14:textId="77777777" w:rsidR="00510C3C" w:rsidRPr="00510C3C" w:rsidRDefault="00510C3C" w:rsidP="00510C3C">
      <w:pPr>
        <w:pStyle w:val="Hangindent"/>
        <w:rPr>
          <w:sz w:val="24"/>
          <w:szCs w:val="24"/>
        </w:rPr>
      </w:pPr>
      <w:r>
        <w:rPr>
          <w:sz w:val="24"/>
          <w:szCs w:val="24"/>
        </w:rPr>
        <w:t>(</w:t>
      </w:r>
      <w:r w:rsidRPr="00510C3C">
        <w:rPr>
          <w:sz w:val="24"/>
          <w:szCs w:val="24"/>
        </w:rPr>
        <w:t>3)</w:t>
      </w:r>
      <w:r w:rsidRPr="00510C3C">
        <w:rPr>
          <w:sz w:val="24"/>
          <w:szCs w:val="24"/>
        </w:rPr>
        <w:tab/>
        <w:t xml:space="preserve">All applications for directions under rule 49 (including those made under rule 52) are to be filed with the Court electronically via </w:t>
      </w:r>
      <w:hyperlink r:id="rId17" w:history="1">
        <w:r w:rsidRPr="00510C3C">
          <w:rPr>
            <w:sz w:val="24"/>
            <w:szCs w:val="24"/>
          </w:rPr>
          <w:t>ccrcs@courts.sa.gov.au</w:t>
        </w:r>
      </w:hyperlink>
      <w:r w:rsidRPr="00510C3C">
        <w:rPr>
          <w:sz w:val="24"/>
          <w:szCs w:val="24"/>
        </w:rPr>
        <w:t xml:space="preserve">. </w:t>
      </w:r>
    </w:p>
    <w:p w14:paraId="1A1D7B6F" w14:textId="3B1600B6" w:rsidR="00510C3C" w:rsidRDefault="00510C3C" w:rsidP="00510C3C">
      <w:pPr>
        <w:pStyle w:val="Hangindent"/>
        <w:rPr>
          <w:sz w:val="24"/>
          <w:szCs w:val="24"/>
        </w:rPr>
      </w:pPr>
      <w:r w:rsidRPr="00510C3C">
        <w:rPr>
          <w:sz w:val="24"/>
          <w:szCs w:val="24"/>
        </w:rPr>
        <w:t>(4)</w:t>
      </w:r>
      <w:r w:rsidRPr="00510C3C">
        <w:rPr>
          <w:sz w:val="24"/>
          <w:szCs w:val="24"/>
        </w:rPr>
        <w:tab/>
        <w:t>A sealed copy of the application received under subrule (3) will be sent to the parties upon receipt by the Registry.</w:t>
      </w:r>
    </w:p>
    <w:p w14:paraId="7AD829D0" w14:textId="77777777" w:rsidR="00950F37" w:rsidRPr="00950F37" w:rsidRDefault="00950F37" w:rsidP="00950F37">
      <w:pPr>
        <w:pStyle w:val="Part"/>
      </w:pPr>
      <w:bookmarkStart w:id="176" w:name="_Toc60132442"/>
      <w:r w:rsidRPr="00950F37">
        <w:t>Part 3A—Bail applications</w:t>
      </w:r>
      <w:bookmarkEnd w:id="176"/>
    </w:p>
    <w:p w14:paraId="51C906F3" w14:textId="77777777" w:rsidR="00950F37" w:rsidRPr="00950F37" w:rsidRDefault="00950F37" w:rsidP="00950F37">
      <w:pPr>
        <w:pStyle w:val="clausehead"/>
        <w:spacing w:after="120"/>
        <w:rPr>
          <w:lang w:val="en-US"/>
        </w:rPr>
      </w:pPr>
      <w:bookmarkStart w:id="177" w:name="_Toc39742246"/>
      <w:bookmarkStart w:id="178" w:name="_Toc60132443"/>
      <w:r w:rsidRPr="00950F37">
        <w:rPr>
          <w:lang w:val="en-US"/>
        </w:rPr>
        <w:t>36AA—Making bail application</w:t>
      </w:r>
      <w:bookmarkEnd w:id="177"/>
      <w:bookmarkEnd w:id="178"/>
    </w:p>
    <w:p w14:paraId="56262C8B" w14:textId="281C71D2" w:rsidR="00950F37" w:rsidRPr="00950F37" w:rsidRDefault="00950F37" w:rsidP="00950F37">
      <w:pPr>
        <w:pStyle w:val="Hangindent"/>
        <w:spacing w:before="120"/>
        <w:ind w:left="851" w:firstLine="0"/>
        <w:jc w:val="both"/>
        <w:rPr>
          <w:sz w:val="24"/>
          <w:szCs w:val="24"/>
          <w:lang w:val="en-US"/>
        </w:rPr>
      </w:pPr>
      <w:r w:rsidRPr="00950F37">
        <w:rPr>
          <w:sz w:val="24"/>
          <w:szCs w:val="24"/>
          <w:lang w:val="en-US"/>
        </w:rPr>
        <w:t>An originating application for release on bail under rule 51A(2)(b) of the Rules is to be in form 13E.</w:t>
      </w:r>
    </w:p>
    <w:p w14:paraId="78150CAA" w14:textId="77777777" w:rsidR="00F936EB" w:rsidRDefault="00F936EB" w:rsidP="00F936EB">
      <w:pPr>
        <w:pStyle w:val="Part"/>
      </w:pPr>
      <w:bookmarkStart w:id="179" w:name="_Toc391026236"/>
      <w:bookmarkStart w:id="180" w:name="_Toc394312670"/>
      <w:bookmarkStart w:id="181" w:name="_Toc60132444"/>
      <w:r>
        <w:t>Part 4—Determination without oral hearing</w:t>
      </w:r>
      <w:bookmarkEnd w:id="179"/>
      <w:bookmarkEnd w:id="180"/>
      <w:bookmarkEnd w:id="181"/>
    </w:p>
    <w:p w14:paraId="5A93D090"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73B5196C" w14:textId="77777777" w:rsidR="00F936EB" w:rsidRDefault="00F936EB" w:rsidP="00F936EB">
      <w:pPr>
        <w:pStyle w:val="Part"/>
      </w:pPr>
      <w:bookmarkStart w:id="182" w:name="_Toc391026238"/>
      <w:bookmarkStart w:id="183" w:name="_Toc394312671"/>
      <w:bookmarkStart w:id="184" w:name="_Toc60132445"/>
      <w:r>
        <w:t>Part 5—Proceedings at directions hearings</w:t>
      </w:r>
      <w:bookmarkEnd w:id="182"/>
      <w:bookmarkEnd w:id="183"/>
      <w:bookmarkEnd w:id="184"/>
    </w:p>
    <w:p w14:paraId="059D40C5" w14:textId="77777777" w:rsidR="009B6EA1" w:rsidRPr="009B6EA1" w:rsidRDefault="009B6EA1" w:rsidP="0045051C">
      <w:pPr>
        <w:pStyle w:val="clausehead"/>
        <w:spacing w:after="120"/>
        <w:rPr>
          <w:lang w:val="en-US"/>
        </w:rPr>
      </w:pPr>
      <w:bookmarkStart w:id="185" w:name="_Toc60132446"/>
      <w:r>
        <w:rPr>
          <w:lang w:val="en-US"/>
        </w:rPr>
        <w:t>36A—</w:t>
      </w:r>
      <w:r w:rsidRPr="009B6EA1">
        <w:rPr>
          <w:lang w:val="en-US"/>
        </w:rPr>
        <w:t>First Directions Hearing – Call Over</w:t>
      </w:r>
      <w:bookmarkEnd w:id="185"/>
      <w:r w:rsidRPr="009B6EA1">
        <w:rPr>
          <w:lang w:val="en-US"/>
        </w:rPr>
        <w:t xml:space="preserve"> </w:t>
      </w:r>
    </w:p>
    <w:p w14:paraId="7DF173E8" w14:textId="77777777" w:rsidR="009B6EA1" w:rsidRPr="009B6EA1" w:rsidRDefault="009B6EA1" w:rsidP="009B6EA1">
      <w:pPr>
        <w:pStyle w:val="Hangindent"/>
        <w:rPr>
          <w:sz w:val="24"/>
          <w:szCs w:val="24"/>
        </w:rPr>
      </w:pPr>
      <w:r w:rsidRPr="009B6EA1">
        <w:rPr>
          <w:sz w:val="24"/>
          <w:szCs w:val="24"/>
        </w:rPr>
        <w:t>(1)</w:t>
      </w:r>
      <w:r w:rsidRPr="009B6EA1">
        <w:rPr>
          <w:sz w:val="24"/>
          <w:szCs w:val="24"/>
        </w:rPr>
        <w:tab/>
        <w:t>At the First Directions Hearing – Call Over the Court will —</w:t>
      </w:r>
    </w:p>
    <w:p w14:paraId="32F88BC9" w14:textId="77777777" w:rsidR="009B6EA1" w:rsidRPr="009B6EA1" w:rsidRDefault="009B6EA1" w:rsidP="009B6EA1">
      <w:pPr>
        <w:pStyle w:val="Doublehangingindent"/>
        <w:rPr>
          <w:sz w:val="24"/>
          <w:szCs w:val="24"/>
        </w:rPr>
      </w:pPr>
      <w:r w:rsidRPr="009B6EA1">
        <w:rPr>
          <w:sz w:val="24"/>
          <w:szCs w:val="24"/>
        </w:rPr>
        <w:t>(a)</w:t>
      </w:r>
      <w:r w:rsidRPr="009B6EA1">
        <w:rPr>
          <w:sz w:val="24"/>
          <w:szCs w:val="24"/>
        </w:rPr>
        <w:tab/>
        <w:t xml:space="preserve">confirm or alter the trial date; </w:t>
      </w:r>
    </w:p>
    <w:p w14:paraId="04176548" w14:textId="77777777" w:rsidR="009B6EA1" w:rsidRPr="009B6EA1" w:rsidRDefault="009B6EA1" w:rsidP="009B6EA1">
      <w:pPr>
        <w:pStyle w:val="Doublehangingindent"/>
        <w:rPr>
          <w:sz w:val="24"/>
          <w:szCs w:val="24"/>
        </w:rPr>
      </w:pPr>
      <w:r w:rsidRPr="009B6EA1">
        <w:rPr>
          <w:sz w:val="24"/>
          <w:szCs w:val="24"/>
        </w:rPr>
        <w:t>(b)</w:t>
      </w:r>
      <w:r w:rsidRPr="009B6EA1">
        <w:rPr>
          <w:sz w:val="24"/>
          <w:szCs w:val="24"/>
        </w:rPr>
        <w:tab/>
        <w:t>determine any application for an extension of time under sub-rule 49(1)(c) or list the application for argument;</w:t>
      </w:r>
    </w:p>
    <w:p w14:paraId="109524AB" w14:textId="77777777" w:rsidR="009B6EA1" w:rsidRPr="009B6EA1" w:rsidRDefault="009B6EA1" w:rsidP="009B6EA1">
      <w:pPr>
        <w:pStyle w:val="Doublehangingindent"/>
        <w:rPr>
          <w:sz w:val="24"/>
          <w:szCs w:val="24"/>
        </w:rPr>
      </w:pPr>
      <w:r w:rsidRPr="009B6EA1">
        <w:rPr>
          <w:sz w:val="24"/>
          <w:szCs w:val="24"/>
        </w:rPr>
        <w:t>(c)</w:t>
      </w:r>
      <w:r w:rsidRPr="009B6EA1">
        <w:rPr>
          <w:sz w:val="24"/>
          <w:szCs w:val="24"/>
        </w:rPr>
        <w:tab/>
        <w:t xml:space="preserve">list any application made under sub-rules 49(1)(d) and 49(1)(e) for argument; </w:t>
      </w:r>
    </w:p>
    <w:p w14:paraId="44AC7FB9" w14:textId="77777777" w:rsidR="009B6EA1" w:rsidRPr="009B6EA1" w:rsidRDefault="009B6EA1" w:rsidP="009B6EA1">
      <w:pPr>
        <w:pStyle w:val="Doublehangingindent"/>
        <w:rPr>
          <w:sz w:val="24"/>
          <w:szCs w:val="24"/>
        </w:rPr>
      </w:pPr>
      <w:r w:rsidRPr="009B6EA1">
        <w:rPr>
          <w:sz w:val="24"/>
          <w:szCs w:val="24"/>
        </w:rPr>
        <w:t>(d)</w:t>
      </w:r>
      <w:r w:rsidRPr="009B6EA1">
        <w:rPr>
          <w:sz w:val="24"/>
          <w:szCs w:val="24"/>
        </w:rPr>
        <w:tab/>
        <w:t>determine any application made under sub-rule 49(1)(</w:t>
      </w:r>
      <w:proofErr w:type="spellStart"/>
      <w:r w:rsidRPr="009B6EA1">
        <w:rPr>
          <w:sz w:val="24"/>
          <w:szCs w:val="24"/>
        </w:rPr>
        <w:t>i</w:t>
      </w:r>
      <w:proofErr w:type="spellEnd"/>
      <w:r w:rsidRPr="009B6EA1">
        <w:rPr>
          <w:sz w:val="24"/>
          <w:szCs w:val="24"/>
        </w:rPr>
        <w:t>);</w:t>
      </w:r>
    </w:p>
    <w:p w14:paraId="28ACC09D" w14:textId="77777777" w:rsidR="009B6EA1" w:rsidRPr="009B6EA1" w:rsidRDefault="009B6EA1" w:rsidP="009B6EA1">
      <w:pPr>
        <w:pStyle w:val="Doublehangingindent"/>
        <w:rPr>
          <w:sz w:val="24"/>
          <w:szCs w:val="24"/>
        </w:rPr>
      </w:pPr>
      <w:r w:rsidRPr="009B6EA1">
        <w:rPr>
          <w:sz w:val="24"/>
          <w:szCs w:val="24"/>
        </w:rPr>
        <w:t>(e)</w:t>
      </w:r>
      <w:r w:rsidRPr="009B6EA1">
        <w:rPr>
          <w:sz w:val="24"/>
          <w:szCs w:val="24"/>
        </w:rPr>
        <w:tab/>
        <w:t xml:space="preserve">determine any application made under sub-rule 49(1) if it is appropriate in the circumstances or list any application made under sub-rule 49(1) for argument before an appropriate Judge; </w:t>
      </w:r>
    </w:p>
    <w:p w14:paraId="066609CD" w14:textId="77777777" w:rsidR="009B6EA1" w:rsidRPr="009B6EA1" w:rsidRDefault="009B6EA1" w:rsidP="009B6EA1">
      <w:pPr>
        <w:pStyle w:val="Doublehangingindent"/>
        <w:rPr>
          <w:sz w:val="24"/>
          <w:szCs w:val="24"/>
        </w:rPr>
      </w:pPr>
      <w:r w:rsidRPr="009B6EA1">
        <w:rPr>
          <w:sz w:val="24"/>
          <w:szCs w:val="24"/>
        </w:rPr>
        <w:t>(f)</w:t>
      </w:r>
      <w:r w:rsidRPr="009B6EA1">
        <w:rPr>
          <w:sz w:val="24"/>
          <w:szCs w:val="24"/>
        </w:rPr>
        <w:tab/>
        <w:t xml:space="preserve">determine any vulnerable witness applications made pursuant to rules 49 or 50; </w:t>
      </w:r>
    </w:p>
    <w:p w14:paraId="1392AAE2" w14:textId="77777777" w:rsidR="009B6EA1" w:rsidRPr="009B6EA1" w:rsidRDefault="009B6EA1" w:rsidP="009B6EA1">
      <w:pPr>
        <w:pStyle w:val="Doublehangingindent"/>
        <w:rPr>
          <w:sz w:val="24"/>
          <w:szCs w:val="24"/>
        </w:rPr>
      </w:pPr>
      <w:r w:rsidRPr="009B6EA1">
        <w:rPr>
          <w:sz w:val="24"/>
          <w:szCs w:val="24"/>
        </w:rPr>
        <w:t>(g)</w:t>
      </w:r>
      <w:r w:rsidRPr="009B6EA1">
        <w:rPr>
          <w:sz w:val="24"/>
          <w:szCs w:val="24"/>
        </w:rPr>
        <w:tab/>
        <w:t>list any discreditable conduct notices made pursuant to sub-rule 61(1)(a) for argument before or at trial;</w:t>
      </w:r>
    </w:p>
    <w:p w14:paraId="7CB2566C" w14:textId="77777777" w:rsidR="009B6EA1" w:rsidRPr="009B6EA1" w:rsidRDefault="009B6EA1" w:rsidP="009B6EA1">
      <w:pPr>
        <w:pStyle w:val="Doublehangingindent"/>
        <w:rPr>
          <w:sz w:val="24"/>
          <w:szCs w:val="24"/>
        </w:rPr>
      </w:pPr>
      <w:r w:rsidRPr="009B6EA1">
        <w:rPr>
          <w:sz w:val="24"/>
          <w:szCs w:val="24"/>
        </w:rPr>
        <w:lastRenderedPageBreak/>
        <w:t>(h)</w:t>
      </w:r>
      <w:r w:rsidRPr="009B6EA1">
        <w:rPr>
          <w:sz w:val="24"/>
          <w:szCs w:val="24"/>
        </w:rPr>
        <w:tab/>
        <w:t>make orders for any interpreters which may be required for the trial; and</w:t>
      </w:r>
    </w:p>
    <w:p w14:paraId="60AA6185" w14:textId="77777777" w:rsidR="009B6EA1" w:rsidRPr="009B6EA1" w:rsidRDefault="009B6EA1" w:rsidP="009B6EA1">
      <w:pPr>
        <w:pStyle w:val="Doublehangingindent"/>
        <w:rPr>
          <w:sz w:val="24"/>
          <w:szCs w:val="24"/>
        </w:rPr>
      </w:pPr>
      <w:r w:rsidRPr="009B6EA1">
        <w:rPr>
          <w:sz w:val="24"/>
          <w:szCs w:val="24"/>
        </w:rPr>
        <w:t>(</w:t>
      </w:r>
      <w:proofErr w:type="spellStart"/>
      <w:r w:rsidRPr="009B6EA1">
        <w:rPr>
          <w:sz w:val="24"/>
          <w:szCs w:val="24"/>
        </w:rPr>
        <w:t>i</w:t>
      </w:r>
      <w:proofErr w:type="spellEnd"/>
      <w:r w:rsidRPr="009B6EA1">
        <w:rPr>
          <w:sz w:val="24"/>
          <w:szCs w:val="24"/>
        </w:rPr>
        <w:t>)</w:t>
      </w:r>
      <w:r w:rsidRPr="009B6EA1">
        <w:rPr>
          <w:sz w:val="24"/>
          <w:szCs w:val="24"/>
        </w:rPr>
        <w:tab/>
        <w:t xml:space="preserve">make any other ancillary orders as necessary. </w:t>
      </w:r>
    </w:p>
    <w:p w14:paraId="036C27ED" w14:textId="77777777" w:rsidR="009B6EA1" w:rsidRPr="009B6EA1" w:rsidRDefault="009B6EA1" w:rsidP="009B6EA1">
      <w:pPr>
        <w:pStyle w:val="Hangindent"/>
        <w:rPr>
          <w:sz w:val="24"/>
          <w:szCs w:val="24"/>
        </w:rPr>
      </w:pPr>
      <w:r w:rsidRPr="009B6EA1">
        <w:rPr>
          <w:sz w:val="24"/>
          <w:szCs w:val="24"/>
        </w:rPr>
        <w:t>(2)</w:t>
      </w:r>
      <w:r w:rsidRPr="009B6EA1">
        <w:rPr>
          <w:sz w:val="24"/>
          <w:szCs w:val="24"/>
        </w:rPr>
        <w:tab/>
        <w:t xml:space="preserve">Upon the conclusion of the First Directions Hearing – Call Over, the matter will be referred to a Second Directions Hearing – Call Over. </w:t>
      </w:r>
    </w:p>
    <w:p w14:paraId="67446532" w14:textId="77777777" w:rsidR="009B6EA1" w:rsidRPr="009B6EA1" w:rsidRDefault="009B6EA1" w:rsidP="00B1183A">
      <w:pPr>
        <w:pStyle w:val="clausehead"/>
        <w:rPr>
          <w:lang w:val="en-US"/>
        </w:rPr>
      </w:pPr>
      <w:bookmarkStart w:id="186" w:name="_Toc60132447"/>
      <w:r>
        <w:rPr>
          <w:lang w:val="en-US"/>
        </w:rPr>
        <w:t>36B—</w:t>
      </w:r>
      <w:r w:rsidRPr="009B6EA1">
        <w:rPr>
          <w:lang w:val="en-US"/>
        </w:rPr>
        <w:t>Second Directions Hearing – Call Over</w:t>
      </w:r>
      <w:bookmarkEnd w:id="186"/>
      <w:r w:rsidRPr="009B6EA1">
        <w:rPr>
          <w:lang w:val="en-US"/>
        </w:rPr>
        <w:t xml:space="preserve"> </w:t>
      </w:r>
    </w:p>
    <w:p w14:paraId="6599F377" w14:textId="77777777" w:rsidR="009B6EA1" w:rsidRPr="009B6EA1" w:rsidRDefault="009B6EA1" w:rsidP="00FA5A02">
      <w:pPr>
        <w:pStyle w:val="Hangindent"/>
        <w:spacing w:before="120"/>
        <w:ind w:left="851" w:firstLine="0"/>
        <w:jc w:val="both"/>
        <w:rPr>
          <w:sz w:val="24"/>
          <w:szCs w:val="24"/>
          <w:lang w:val="en-US"/>
        </w:rPr>
      </w:pPr>
      <w:r w:rsidRPr="009B6EA1">
        <w:rPr>
          <w:sz w:val="24"/>
          <w:szCs w:val="24"/>
          <w:lang w:val="en-US"/>
        </w:rPr>
        <w:t>At the Second Directions Hearing – Call Over the Court will–</w:t>
      </w:r>
    </w:p>
    <w:p w14:paraId="5E1DF791" w14:textId="77777777" w:rsidR="009B6EA1" w:rsidRPr="009B6EA1" w:rsidRDefault="009B6EA1" w:rsidP="00B1183A">
      <w:pPr>
        <w:pStyle w:val="IndentedPara"/>
        <w:numPr>
          <w:ilvl w:val="0"/>
          <w:numId w:val="4"/>
        </w:numPr>
        <w:ind w:left="1418" w:hanging="567"/>
        <w:jc w:val="both"/>
        <w:rPr>
          <w:sz w:val="24"/>
          <w:szCs w:val="24"/>
        </w:rPr>
      </w:pPr>
      <w:r w:rsidRPr="009B6EA1">
        <w:rPr>
          <w:sz w:val="24"/>
          <w:szCs w:val="24"/>
        </w:rPr>
        <w:t xml:space="preserve">expect counsel to attend with a full brief of instructions and address pre-trial issues and evidentiary questions raised by the presiding Judge. </w:t>
      </w:r>
    </w:p>
    <w:p w14:paraId="3EAF5FA0" w14:textId="77777777" w:rsidR="009B6EA1" w:rsidRPr="009B6EA1" w:rsidRDefault="009B6EA1" w:rsidP="00B1183A">
      <w:pPr>
        <w:spacing w:after="160" w:line="240" w:lineRule="auto"/>
        <w:ind w:left="720" w:firstLine="720"/>
        <w:rPr>
          <w:rFonts w:eastAsia="Times New Roman"/>
          <w:b/>
          <w:bCs/>
          <w:color w:val="000000"/>
          <w:sz w:val="20"/>
          <w:szCs w:val="20"/>
          <w:lang w:val="en-US"/>
        </w:rPr>
      </w:pPr>
      <w:r w:rsidRPr="009B6EA1">
        <w:rPr>
          <w:rFonts w:eastAsia="Times New Roman"/>
          <w:b/>
          <w:bCs/>
          <w:color w:val="000000"/>
          <w:sz w:val="20"/>
          <w:szCs w:val="20"/>
          <w:lang w:val="en-US"/>
        </w:rPr>
        <w:t xml:space="preserve">Note – </w:t>
      </w:r>
    </w:p>
    <w:p w14:paraId="68F450D1" w14:textId="77777777" w:rsidR="009B6EA1" w:rsidRPr="009B6EA1" w:rsidRDefault="009B6EA1" w:rsidP="009B6EA1">
      <w:pPr>
        <w:spacing w:after="160" w:line="240" w:lineRule="auto"/>
        <w:ind w:left="1980"/>
        <w:rPr>
          <w:rFonts w:eastAsia="Times New Roman"/>
          <w:bCs/>
          <w:color w:val="000000"/>
          <w:sz w:val="20"/>
          <w:szCs w:val="20"/>
          <w:lang w:val="en-US"/>
        </w:rPr>
      </w:pPr>
      <w:r w:rsidRPr="009B6EA1">
        <w:rPr>
          <w:rFonts w:eastAsia="Times New Roman"/>
          <w:bCs/>
          <w:color w:val="000000"/>
          <w:sz w:val="20"/>
          <w:szCs w:val="20"/>
          <w:lang w:val="en-US"/>
        </w:rPr>
        <w:t xml:space="preserve">This may include, but is not limited to, applications for a </w:t>
      </w:r>
      <w:proofErr w:type="spellStart"/>
      <w:r w:rsidRPr="009B6EA1">
        <w:rPr>
          <w:rFonts w:eastAsia="Times New Roman"/>
          <w:bCs/>
          <w:color w:val="000000"/>
          <w:sz w:val="20"/>
          <w:szCs w:val="20"/>
          <w:lang w:val="en-US"/>
        </w:rPr>
        <w:t>voir</w:t>
      </w:r>
      <w:proofErr w:type="spellEnd"/>
      <w:r w:rsidRPr="009B6EA1">
        <w:rPr>
          <w:rFonts w:eastAsia="Times New Roman"/>
          <w:bCs/>
          <w:color w:val="000000"/>
          <w:sz w:val="20"/>
          <w:szCs w:val="20"/>
          <w:lang w:val="en-US"/>
        </w:rPr>
        <w:t xml:space="preserve"> dire, vulnerable witness order, interpreter, discreditable conduct order, notice to admit fact order and other pre-trial orders that may be required.</w:t>
      </w:r>
    </w:p>
    <w:p w14:paraId="7FCD5E01" w14:textId="77777777" w:rsidR="009B6EA1" w:rsidRDefault="009B6EA1" w:rsidP="00B1183A">
      <w:pPr>
        <w:pStyle w:val="IndentedPara"/>
        <w:numPr>
          <w:ilvl w:val="0"/>
          <w:numId w:val="4"/>
        </w:numPr>
        <w:ind w:left="1418" w:hanging="567"/>
        <w:jc w:val="both"/>
        <w:rPr>
          <w:sz w:val="24"/>
          <w:szCs w:val="24"/>
        </w:rPr>
      </w:pPr>
      <w:r w:rsidRPr="00B1183A">
        <w:rPr>
          <w:sz w:val="24"/>
          <w:szCs w:val="24"/>
        </w:rPr>
        <w:t>make any further pre-trial orders necessary or desirable to enable the trial to proceed on the trial date, including determining applications made under sub-rule 49(1) of the Rules on a date to be fixed when the Court considers it appropriate to do so.</w:t>
      </w:r>
    </w:p>
    <w:p w14:paraId="049C44C7" w14:textId="77777777" w:rsidR="00F936EB" w:rsidRDefault="00F936EB" w:rsidP="00F936EB">
      <w:pPr>
        <w:pStyle w:val="Part"/>
        <w:ind w:left="0" w:firstLine="0"/>
      </w:pPr>
      <w:bookmarkStart w:id="187" w:name="_Toc394312672"/>
      <w:bookmarkStart w:id="188" w:name="_Toc60132448"/>
      <w:r>
        <w:t>Part 6—Special directions hearings</w:t>
      </w:r>
      <w:bookmarkEnd w:id="187"/>
      <w:bookmarkEnd w:id="188"/>
    </w:p>
    <w:p w14:paraId="7A0735DF" w14:textId="77777777" w:rsidR="00F936EB" w:rsidRDefault="00F936EB" w:rsidP="0045051C">
      <w:pPr>
        <w:pStyle w:val="clausehead"/>
        <w:spacing w:after="120"/>
        <w:rPr>
          <w:lang w:val="en-US"/>
        </w:rPr>
      </w:pPr>
      <w:bookmarkStart w:id="189" w:name="_Toc394312673"/>
      <w:bookmarkStart w:id="190" w:name="_Toc60132449"/>
      <w:r>
        <w:rPr>
          <w:lang w:val="en-US"/>
        </w:rPr>
        <w:t>37—Special directions hearings</w:t>
      </w:r>
      <w:bookmarkEnd w:id="189"/>
      <w:bookmarkEnd w:id="190"/>
    </w:p>
    <w:p w14:paraId="07D4D764" w14:textId="77777777" w:rsidR="00B1183A" w:rsidRPr="00B1183A" w:rsidRDefault="00B1183A" w:rsidP="00B1183A">
      <w:pPr>
        <w:pStyle w:val="Hangindent"/>
        <w:rPr>
          <w:sz w:val="24"/>
          <w:szCs w:val="24"/>
        </w:rPr>
      </w:pPr>
      <w:r w:rsidRPr="00B1183A">
        <w:rPr>
          <w:rFonts w:eastAsia="Times New Roman"/>
          <w:sz w:val="24"/>
          <w:szCs w:val="24"/>
          <w:lang w:val="en-GB"/>
        </w:rPr>
        <w:t>(</w:t>
      </w:r>
      <w:r w:rsidRPr="00B1183A">
        <w:rPr>
          <w:sz w:val="24"/>
          <w:szCs w:val="24"/>
        </w:rPr>
        <w:t>1)</w:t>
      </w:r>
      <w:r w:rsidRPr="00B1183A">
        <w:rPr>
          <w:sz w:val="24"/>
          <w:szCs w:val="24"/>
        </w:rPr>
        <w:tab/>
        <w:t>The decision to refer a proceeding to a special directions hearing is in the discretion of the Court and may be exercised by the Registrar.</w:t>
      </w:r>
    </w:p>
    <w:p w14:paraId="0B57B9A7" w14:textId="77777777" w:rsidR="00B1183A" w:rsidRPr="00B1183A" w:rsidRDefault="00B1183A" w:rsidP="00B1183A">
      <w:pPr>
        <w:pStyle w:val="Hangindent"/>
        <w:rPr>
          <w:sz w:val="24"/>
          <w:szCs w:val="24"/>
        </w:rPr>
      </w:pPr>
      <w:r w:rsidRPr="00B1183A">
        <w:rPr>
          <w:sz w:val="24"/>
          <w:szCs w:val="24"/>
        </w:rPr>
        <w:t>(2</w:t>
      </w:r>
      <w:r>
        <w:rPr>
          <w:sz w:val="24"/>
          <w:szCs w:val="24"/>
        </w:rPr>
        <w:t>)</w:t>
      </w:r>
      <w:r w:rsidRPr="00B1183A">
        <w:rPr>
          <w:sz w:val="24"/>
          <w:szCs w:val="24"/>
        </w:rPr>
        <w:tab/>
        <w:t>The decision to refer a proceeding to a special directions hearing will depend in part on the nature of the charges.</w:t>
      </w:r>
    </w:p>
    <w:p w14:paraId="3F79E71E" w14:textId="77777777" w:rsidR="00B1183A" w:rsidRPr="00B1183A" w:rsidRDefault="00B1183A" w:rsidP="00B1183A">
      <w:pPr>
        <w:pStyle w:val="Hangindent"/>
        <w:rPr>
          <w:sz w:val="24"/>
          <w:szCs w:val="24"/>
        </w:rPr>
      </w:pPr>
      <w:r w:rsidRPr="00B1183A">
        <w:rPr>
          <w:sz w:val="24"/>
          <w:szCs w:val="24"/>
        </w:rPr>
        <w:t>(3)</w:t>
      </w:r>
      <w:r w:rsidRPr="00B1183A">
        <w:rPr>
          <w:sz w:val="24"/>
          <w:szCs w:val="24"/>
        </w:rPr>
        <w:tab/>
        <w:t>A proceeding will only be referred to a special directions hearing when the defendant is legally represented.</w:t>
      </w:r>
    </w:p>
    <w:p w14:paraId="42A441F8" w14:textId="77777777" w:rsidR="00B1183A" w:rsidRDefault="00B1183A" w:rsidP="00B1183A">
      <w:pPr>
        <w:pStyle w:val="Hangindent"/>
        <w:rPr>
          <w:sz w:val="24"/>
          <w:szCs w:val="24"/>
        </w:rPr>
      </w:pPr>
      <w:r w:rsidRPr="00B1183A">
        <w:rPr>
          <w:sz w:val="24"/>
          <w:szCs w:val="24"/>
        </w:rPr>
        <w:t>(4)</w:t>
      </w:r>
      <w:r w:rsidRPr="00B1183A">
        <w:rPr>
          <w:sz w:val="24"/>
          <w:szCs w:val="24"/>
        </w:rPr>
        <w:tab/>
        <w:t>If a proceeding is to be referred to a special directions hearing, it will only be referred when the requirements of rule 57 are complied with.</w:t>
      </w:r>
    </w:p>
    <w:p w14:paraId="32839266" w14:textId="77777777" w:rsidR="00A365F8" w:rsidRDefault="00A365F8" w:rsidP="00A365F8">
      <w:pPr>
        <w:pStyle w:val="Part"/>
        <w:ind w:left="0" w:firstLine="0"/>
      </w:pPr>
      <w:bookmarkStart w:id="191" w:name="_Toc60132450"/>
      <w:r w:rsidRPr="00A365F8">
        <w:t>Part 6A—Vulnerable witnesses</w:t>
      </w:r>
      <w:bookmarkEnd w:id="191"/>
    </w:p>
    <w:p w14:paraId="58F31CBD" w14:textId="77777777" w:rsidR="00A365F8" w:rsidRDefault="00A365F8" w:rsidP="007261A3">
      <w:pPr>
        <w:pStyle w:val="clausehead"/>
        <w:spacing w:after="120"/>
        <w:rPr>
          <w:lang w:val="en-US"/>
        </w:rPr>
      </w:pPr>
      <w:bookmarkStart w:id="192" w:name="_Toc60132451"/>
      <w:r w:rsidRPr="00AE1F87">
        <w:rPr>
          <w:lang w:val="en-US"/>
        </w:rPr>
        <w:t>37A—Pre-trial special hearing</w:t>
      </w:r>
      <w:bookmarkEnd w:id="192"/>
    </w:p>
    <w:p w14:paraId="4B0A851B" w14:textId="77777777" w:rsidR="00A365F8" w:rsidRPr="00AE1F87" w:rsidRDefault="00A365F8" w:rsidP="00AE1F87">
      <w:pPr>
        <w:pStyle w:val="Hangindent"/>
        <w:rPr>
          <w:sz w:val="24"/>
          <w:szCs w:val="24"/>
        </w:rPr>
      </w:pPr>
      <w:r w:rsidRPr="00AE1F87">
        <w:rPr>
          <w:sz w:val="24"/>
          <w:szCs w:val="24"/>
        </w:rPr>
        <w:t>(1)</w:t>
      </w:r>
      <w:r w:rsidRPr="00AE1F87">
        <w:rPr>
          <w:sz w:val="24"/>
          <w:szCs w:val="24"/>
        </w:rPr>
        <w:tab/>
        <w:t xml:space="preserve">An application under section 12AB(1) of the </w:t>
      </w:r>
      <w:r w:rsidRPr="00AE1F87">
        <w:rPr>
          <w:i/>
          <w:sz w:val="24"/>
          <w:szCs w:val="24"/>
        </w:rPr>
        <w:t>Evidence Act 1929</w:t>
      </w:r>
      <w:r w:rsidRPr="00AE1F87">
        <w:rPr>
          <w:sz w:val="24"/>
          <w:szCs w:val="24"/>
        </w:rPr>
        <w:t xml:space="preserve"> for a pre-trial special hearing is to be in form 13A.</w:t>
      </w:r>
    </w:p>
    <w:p w14:paraId="6DA12C4E" w14:textId="77777777" w:rsidR="00A365F8" w:rsidRPr="00AE1F87" w:rsidRDefault="00A365F8" w:rsidP="00AE1F87">
      <w:pPr>
        <w:pStyle w:val="Hangindent"/>
        <w:rPr>
          <w:sz w:val="24"/>
          <w:szCs w:val="24"/>
        </w:rPr>
      </w:pPr>
      <w:r w:rsidRPr="00AE1F87">
        <w:rPr>
          <w:sz w:val="24"/>
          <w:szCs w:val="24"/>
        </w:rPr>
        <w:t>(2)</w:t>
      </w:r>
      <w:r w:rsidRPr="00AE1F87">
        <w:rPr>
          <w:sz w:val="24"/>
          <w:szCs w:val="24"/>
        </w:rPr>
        <w:tab/>
        <w:t xml:space="preserve">An objection under section 12AB(8) of the </w:t>
      </w:r>
      <w:r w:rsidRPr="00AE1F87">
        <w:rPr>
          <w:i/>
          <w:sz w:val="24"/>
          <w:szCs w:val="24"/>
        </w:rPr>
        <w:t>Evidence Act 1929</w:t>
      </w:r>
      <w:r w:rsidRPr="00AE1F87">
        <w:rPr>
          <w:sz w:val="24"/>
          <w:szCs w:val="24"/>
        </w:rPr>
        <w:t xml:space="preserve"> to an application for a pre-trial special hearing is to be in form 13B.</w:t>
      </w:r>
    </w:p>
    <w:p w14:paraId="5B2DAD49" w14:textId="77777777" w:rsidR="00A365F8" w:rsidRDefault="00A365F8" w:rsidP="007261A3">
      <w:pPr>
        <w:pStyle w:val="clausehead"/>
        <w:spacing w:after="120"/>
        <w:rPr>
          <w:lang w:val="en-US"/>
        </w:rPr>
      </w:pPr>
      <w:bookmarkStart w:id="193" w:name="_Toc60132452"/>
      <w:r w:rsidRPr="00AE1F87">
        <w:rPr>
          <w:lang w:val="en-US"/>
        </w:rPr>
        <w:t>37B—Admission of audio visual record of evidence</w:t>
      </w:r>
      <w:bookmarkEnd w:id="193"/>
    </w:p>
    <w:p w14:paraId="60CBEA00" w14:textId="77777777" w:rsidR="00A365F8" w:rsidRPr="00AE1F87" w:rsidRDefault="00A365F8" w:rsidP="00AE1F87">
      <w:pPr>
        <w:pStyle w:val="Hangindent"/>
        <w:numPr>
          <w:ilvl w:val="0"/>
          <w:numId w:val="5"/>
        </w:numPr>
        <w:rPr>
          <w:sz w:val="24"/>
          <w:szCs w:val="24"/>
        </w:rPr>
      </w:pPr>
      <w:r w:rsidRPr="00AE1F87">
        <w:rPr>
          <w:sz w:val="24"/>
          <w:szCs w:val="24"/>
        </w:rPr>
        <w:t xml:space="preserve">An application under section 13BA(1) of the </w:t>
      </w:r>
      <w:r w:rsidRPr="00AE1F87">
        <w:rPr>
          <w:i/>
          <w:sz w:val="24"/>
          <w:szCs w:val="24"/>
        </w:rPr>
        <w:t>Evidence Act 1929</w:t>
      </w:r>
      <w:r w:rsidRPr="00AE1F87">
        <w:rPr>
          <w:sz w:val="24"/>
          <w:szCs w:val="24"/>
        </w:rPr>
        <w:t xml:space="preserve"> for admission of evidence of a witness in the form of an audio visual record made under section 12AB of the </w:t>
      </w:r>
      <w:r w:rsidRPr="00AE1F87">
        <w:rPr>
          <w:i/>
          <w:sz w:val="24"/>
          <w:szCs w:val="24"/>
        </w:rPr>
        <w:t>Evidence Act 1929</w:t>
      </w:r>
      <w:r w:rsidRPr="00AE1F87">
        <w:rPr>
          <w:sz w:val="24"/>
          <w:szCs w:val="24"/>
        </w:rPr>
        <w:t xml:space="preserve"> is to be in form 13C.</w:t>
      </w:r>
    </w:p>
    <w:p w14:paraId="09DCF638" w14:textId="77777777" w:rsidR="00A365F8" w:rsidRPr="00AE1F87" w:rsidRDefault="00A365F8" w:rsidP="00CA0FEC">
      <w:pPr>
        <w:pStyle w:val="IndentedPara"/>
        <w:keepNext/>
        <w:keepLines/>
        <w:widowControl w:val="0"/>
        <w:numPr>
          <w:ilvl w:val="0"/>
          <w:numId w:val="5"/>
        </w:numPr>
        <w:overflowPunct w:val="0"/>
        <w:ind w:left="1441" w:hanging="590"/>
        <w:jc w:val="both"/>
        <w:textAlignment w:val="baseline"/>
        <w:rPr>
          <w:sz w:val="24"/>
          <w:szCs w:val="24"/>
        </w:rPr>
      </w:pPr>
      <w:r w:rsidRPr="00AE1F87">
        <w:rPr>
          <w:sz w:val="24"/>
          <w:szCs w:val="24"/>
        </w:rPr>
        <w:lastRenderedPageBreak/>
        <w:t xml:space="preserve">An application under section 13BA(1) of the </w:t>
      </w:r>
      <w:r w:rsidRPr="00AE1F87">
        <w:rPr>
          <w:i/>
          <w:sz w:val="24"/>
          <w:szCs w:val="24"/>
        </w:rPr>
        <w:t>Evidence Act 1929</w:t>
      </w:r>
      <w:r w:rsidRPr="00AE1F87">
        <w:rPr>
          <w:sz w:val="24"/>
          <w:szCs w:val="24"/>
        </w:rPr>
        <w:t xml:space="preserve"> for admission of evidence of a witness in the form of an audio visual record made under section 74EB of the </w:t>
      </w:r>
      <w:r w:rsidRPr="00AE1F87">
        <w:rPr>
          <w:i/>
          <w:sz w:val="24"/>
          <w:szCs w:val="24"/>
        </w:rPr>
        <w:t xml:space="preserve">Summary Offences Act 1953 </w:t>
      </w:r>
      <w:r w:rsidR="00AE1F87">
        <w:rPr>
          <w:sz w:val="24"/>
          <w:szCs w:val="24"/>
        </w:rPr>
        <w:t>is to be in form 13D.</w:t>
      </w:r>
    </w:p>
    <w:p w14:paraId="7CDE8241" w14:textId="77777777" w:rsidR="00F936EB" w:rsidRPr="001F3E6F" w:rsidRDefault="00F936EB" w:rsidP="00F936EB">
      <w:pPr>
        <w:pStyle w:val="Part"/>
      </w:pPr>
      <w:bookmarkStart w:id="194" w:name="_Toc396143809"/>
      <w:bookmarkStart w:id="195" w:name="_Toc60132453"/>
      <w:r w:rsidRPr="001F3E6F">
        <w:t>Part 7—Pre-trial directions hearings</w:t>
      </w:r>
      <w:bookmarkEnd w:id="194"/>
      <w:bookmarkEnd w:id="195"/>
    </w:p>
    <w:p w14:paraId="7F37F57D" w14:textId="77777777" w:rsidR="00D8464B" w:rsidRDefault="00D8464B" w:rsidP="007261A3">
      <w:pPr>
        <w:pStyle w:val="clausehead"/>
        <w:spacing w:after="120"/>
        <w:rPr>
          <w:lang w:val="en-US"/>
        </w:rPr>
      </w:pPr>
      <w:bookmarkStart w:id="196" w:name="_Toc60132454"/>
      <w:r w:rsidRPr="00D8464B">
        <w:rPr>
          <w:lang w:val="en-US"/>
        </w:rPr>
        <w:t>37AA—Pre-trial directions hearing</w:t>
      </w:r>
      <w:bookmarkEnd w:id="196"/>
    </w:p>
    <w:p w14:paraId="2A239A70" w14:textId="77777777" w:rsidR="00D8464B" w:rsidRPr="00D8464B" w:rsidRDefault="00D8464B" w:rsidP="00D8464B">
      <w:pPr>
        <w:spacing w:after="160" w:line="240" w:lineRule="auto"/>
        <w:ind w:left="1440" w:hanging="720"/>
        <w:rPr>
          <w:rFonts w:eastAsia="Times New Roman"/>
          <w:sz w:val="24"/>
          <w:szCs w:val="24"/>
          <w:lang w:val="en-US"/>
        </w:rPr>
      </w:pPr>
      <w:r w:rsidRPr="00D8464B">
        <w:rPr>
          <w:rFonts w:eastAsia="Times New Roman"/>
          <w:sz w:val="24"/>
          <w:szCs w:val="24"/>
          <w:lang w:val="en-US"/>
        </w:rPr>
        <w:t>(1)</w:t>
      </w:r>
      <w:r w:rsidRPr="00D8464B">
        <w:rPr>
          <w:rFonts w:eastAsia="Times New Roman"/>
          <w:sz w:val="24"/>
          <w:szCs w:val="24"/>
          <w:lang w:val="en-US"/>
        </w:rPr>
        <w:tab/>
        <w:t>Each matter listed for trial will be called on by the trial Judge for a pre-trial directions hearing, unless the trial Judge is satisfied that a pre-trial directions hearing is unnecessary.</w:t>
      </w:r>
    </w:p>
    <w:p w14:paraId="32E88445" w14:textId="77777777" w:rsidR="00D8464B" w:rsidRDefault="00D8464B" w:rsidP="00D8464B">
      <w:pPr>
        <w:pStyle w:val="IndentedPara"/>
        <w:ind w:left="1440" w:hanging="589"/>
        <w:rPr>
          <w:sz w:val="24"/>
          <w:szCs w:val="24"/>
        </w:rPr>
      </w:pPr>
      <w:r w:rsidRPr="00D8464B">
        <w:rPr>
          <w:color w:val="auto"/>
          <w:sz w:val="24"/>
          <w:szCs w:val="24"/>
        </w:rPr>
        <w:t>(2)</w:t>
      </w:r>
      <w:r w:rsidRPr="00D8464B">
        <w:rPr>
          <w:color w:val="auto"/>
          <w:sz w:val="24"/>
          <w:szCs w:val="24"/>
        </w:rPr>
        <w:tab/>
        <w:t>The pre-trial directions hearing may be convened or conducted by any Judge if the trial Judge is unavailable.</w:t>
      </w:r>
    </w:p>
    <w:p w14:paraId="1D270CC8" w14:textId="77777777" w:rsidR="00F936EB" w:rsidRPr="001F3E6F" w:rsidRDefault="00F936EB" w:rsidP="00F936EB">
      <w:pPr>
        <w:pStyle w:val="Part"/>
      </w:pPr>
      <w:bookmarkStart w:id="197" w:name="_Toc396143812"/>
      <w:bookmarkStart w:id="198" w:name="_Toc60132455"/>
      <w:r w:rsidRPr="001F3E6F">
        <w:t>Part 8—Outcome of directions hearings</w:t>
      </w:r>
      <w:bookmarkEnd w:id="197"/>
      <w:bookmarkEnd w:id="198"/>
    </w:p>
    <w:p w14:paraId="7E221398"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7C569E3C" w14:textId="77777777" w:rsidR="00F936EB" w:rsidRDefault="00F936EB" w:rsidP="00F936EB">
      <w:pPr>
        <w:spacing w:after="0" w:line="240" w:lineRule="auto"/>
        <w:rPr>
          <w:sz w:val="24"/>
          <w:szCs w:val="24"/>
        </w:rPr>
      </w:pPr>
      <w:r>
        <w:rPr>
          <w:sz w:val="24"/>
          <w:szCs w:val="24"/>
        </w:rPr>
        <w:br w:type="page"/>
      </w:r>
    </w:p>
    <w:p w14:paraId="220152EB" w14:textId="77777777" w:rsidR="00F936EB" w:rsidRDefault="00F936EB" w:rsidP="00F936EB">
      <w:pPr>
        <w:pStyle w:val="Chapter"/>
        <w:spacing w:after="240"/>
      </w:pPr>
      <w:bookmarkStart w:id="199" w:name="_Toc394312674"/>
      <w:bookmarkStart w:id="200" w:name="_Toc60132456"/>
      <w:r>
        <w:lastRenderedPageBreak/>
        <w:t>Chapter 7—Notice of and dispensing with evidence</w:t>
      </w:r>
      <w:bookmarkEnd w:id="199"/>
      <w:bookmarkEnd w:id="200"/>
      <w:r>
        <w:t xml:space="preserve"> </w:t>
      </w:r>
    </w:p>
    <w:p w14:paraId="27D6C33C" w14:textId="77777777" w:rsidR="00F936EB" w:rsidRDefault="00F936EB" w:rsidP="00F936EB">
      <w:pPr>
        <w:pStyle w:val="Part"/>
      </w:pPr>
      <w:bookmarkStart w:id="201" w:name="_Toc391026251"/>
      <w:bookmarkStart w:id="202" w:name="_Toc394312675"/>
      <w:bookmarkStart w:id="203" w:name="_Toc60132457"/>
      <w:r w:rsidRPr="00C50229">
        <w:t>Part 1—Notice of evidence</w:t>
      </w:r>
      <w:bookmarkEnd w:id="201"/>
      <w:bookmarkEnd w:id="202"/>
      <w:bookmarkEnd w:id="203"/>
    </w:p>
    <w:p w14:paraId="750CA1AC" w14:textId="77777777" w:rsidR="00F936EB" w:rsidRPr="00D32B94" w:rsidRDefault="00F936EB" w:rsidP="00D32B94">
      <w:pPr>
        <w:pStyle w:val="clausehead"/>
        <w:spacing w:after="120"/>
        <w:rPr>
          <w:lang w:val="en-US"/>
        </w:rPr>
      </w:pPr>
      <w:bookmarkStart w:id="204" w:name="_Toc394312676"/>
      <w:bookmarkStart w:id="205" w:name="_Toc60132458"/>
      <w:r w:rsidRPr="00D32B94">
        <w:rPr>
          <w:lang w:val="en-US"/>
        </w:rPr>
        <w:t>38—Evidence of discreditable conduct</w:t>
      </w:r>
      <w:bookmarkEnd w:id="204"/>
      <w:bookmarkEnd w:id="205"/>
    </w:p>
    <w:p w14:paraId="00A32B44" w14:textId="77777777" w:rsidR="00F936EB" w:rsidRPr="004E35EF" w:rsidRDefault="00F936EB" w:rsidP="00F936EB">
      <w:pPr>
        <w:pStyle w:val="Hangindent"/>
        <w:rPr>
          <w:sz w:val="24"/>
          <w:szCs w:val="24"/>
        </w:rPr>
      </w:pPr>
      <w:r w:rsidRPr="004E35EF">
        <w:rPr>
          <w:sz w:val="24"/>
          <w:szCs w:val="24"/>
        </w:rPr>
        <w:t>(1)</w:t>
      </w:r>
      <w:r w:rsidRPr="004E35EF">
        <w:rPr>
          <w:sz w:val="24"/>
          <w:szCs w:val="24"/>
        </w:rPr>
        <w:tab/>
        <w:t>Notice of intention to adduce evidence of discreditable conduct under—</w:t>
      </w:r>
    </w:p>
    <w:p w14:paraId="0EBF72D9" w14:textId="77777777" w:rsidR="00F936EB" w:rsidRPr="001653E2" w:rsidRDefault="00F936EB" w:rsidP="00F936EB">
      <w:pPr>
        <w:pStyle w:val="Doublehangingindent"/>
        <w:rPr>
          <w:sz w:val="24"/>
          <w:szCs w:val="24"/>
        </w:rPr>
      </w:pPr>
      <w:r w:rsidRPr="001653E2">
        <w:rPr>
          <w:sz w:val="24"/>
          <w:szCs w:val="24"/>
        </w:rPr>
        <w:t>(a)</w:t>
      </w:r>
      <w:r w:rsidRPr="001653E2">
        <w:rPr>
          <w:sz w:val="24"/>
          <w:szCs w:val="24"/>
        </w:rPr>
        <w:tab/>
        <w:t>rule 61(1)(a) of the Rules is to be in form 15;</w:t>
      </w:r>
    </w:p>
    <w:p w14:paraId="61A5A993" w14:textId="77777777" w:rsidR="00F936EB" w:rsidRPr="001653E2" w:rsidRDefault="00F936EB" w:rsidP="00F936EB">
      <w:pPr>
        <w:pStyle w:val="Doublehangingindent"/>
        <w:rPr>
          <w:sz w:val="24"/>
          <w:szCs w:val="24"/>
        </w:rPr>
      </w:pPr>
      <w:r w:rsidRPr="001653E2">
        <w:rPr>
          <w:sz w:val="24"/>
          <w:szCs w:val="24"/>
        </w:rPr>
        <w:t>(b)</w:t>
      </w:r>
      <w:r w:rsidRPr="001653E2">
        <w:rPr>
          <w:sz w:val="24"/>
          <w:szCs w:val="24"/>
        </w:rPr>
        <w:tab/>
        <w:t>rule 61(1)(b) of the Rules is to be in form 16.</w:t>
      </w:r>
    </w:p>
    <w:p w14:paraId="2B676154" w14:textId="77777777" w:rsidR="00F936EB" w:rsidRPr="00750571" w:rsidRDefault="00F936EB" w:rsidP="00F936EB">
      <w:pPr>
        <w:pStyle w:val="Hangindent"/>
        <w:jc w:val="both"/>
        <w:rPr>
          <w:sz w:val="24"/>
          <w:szCs w:val="24"/>
          <w:lang w:val="en-US"/>
        </w:rPr>
      </w:pPr>
      <w:r w:rsidRPr="00750571">
        <w:rPr>
          <w:sz w:val="24"/>
          <w:szCs w:val="24"/>
          <w:lang w:val="en-US"/>
        </w:rPr>
        <w:t>(2)</w:t>
      </w:r>
      <w:r w:rsidRPr="00750571">
        <w:rPr>
          <w:sz w:val="24"/>
          <w:szCs w:val="24"/>
          <w:lang w:val="en-US"/>
        </w:rPr>
        <w:tab/>
        <w:t xml:space="preserve">Notice of intention to object to the admission of proposed evidence of discreditable conduct </w:t>
      </w:r>
      <w:r>
        <w:rPr>
          <w:sz w:val="24"/>
          <w:szCs w:val="24"/>
          <w:lang w:val="en-US"/>
        </w:rPr>
        <w:t>under rule 61(2</w:t>
      </w:r>
      <w:r w:rsidRPr="00750571">
        <w:rPr>
          <w:sz w:val="24"/>
          <w:szCs w:val="24"/>
          <w:lang w:val="en-US"/>
        </w:rPr>
        <w:t>) of the Rules is to be in form 17.</w:t>
      </w:r>
    </w:p>
    <w:p w14:paraId="380DAB7B" w14:textId="77777777" w:rsidR="00F936EB" w:rsidRPr="00D32B94" w:rsidRDefault="00F936EB" w:rsidP="00D32B94">
      <w:pPr>
        <w:pStyle w:val="clausehead"/>
        <w:spacing w:after="120"/>
        <w:rPr>
          <w:lang w:val="en-US"/>
        </w:rPr>
      </w:pPr>
      <w:bookmarkStart w:id="206" w:name="_Toc394312677"/>
      <w:bookmarkStart w:id="207" w:name="_Toc60132459"/>
      <w:r w:rsidRPr="00D32B94">
        <w:rPr>
          <w:lang w:val="en-US"/>
        </w:rPr>
        <w:t>39—Evidence</w:t>
      </w:r>
      <w:bookmarkEnd w:id="206"/>
      <w:r w:rsidRPr="00D32B94">
        <w:rPr>
          <w:lang w:val="en-US"/>
        </w:rPr>
        <w:t xml:space="preserve"> of </w:t>
      </w:r>
      <w:proofErr w:type="spellStart"/>
      <w:r w:rsidRPr="00D32B94">
        <w:rPr>
          <w:lang w:val="en-US"/>
        </w:rPr>
        <w:t>self-defence</w:t>
      </w:r>
      <w:proofErr w:type="spellEnd"/>
      <w:r w:rsidRPr="00D32B94">
        <w:rPr>
          <w:lang w:val="en-US"/>
        </w:rPr>
        <w:t xml:space="preserve"> or other designated matters</w:t>
      </w:r>
      <w:bookmarkEnd w:id="207"/>
    </w:p>
    <w:p w14:paraId="7F7870F6" w14:textId="77777777" w:rsidR="00F936EB" w:rsidRPr="001653E2" w:rsidRDefault="00F936EB" w:rsidP="00F936EB">
      <w:pPr>
        <w:pStyle w:val="Hangindent"/>
        <w:rPr>
          <w:sz w:val="24"/>
          <w:szCs w:val="24"/>
        </w:rPr>
      </w:pPr>
      <w:r w:rsidRPr="001653E2">
        <w:rPr>
          <w:sz w:val="24"/>
          <w:szCs w:val="24"/>
        </w:rPr>
        <w:t>(1)</w:t>
      </w:r>
      <w:r w:rsidRPr="001653E2">
        <w:rPr>
          <w:sz w:val="24"/>
          <w:szCs w:val="24"/>
        </w:rPr>
        <w:tab/>
        <w:t>An application to require the defence to give to the Director notice of intention to adduce evidence of a certain kind under rule 62(1) of the Rules is to be in form 13.</w:t>
      </w:r>
    </w:p>
    <w:p w14:paraId="4A92810E" w14:textId="77777777" w:rsidR="00F936EB" w:rsidRPr="001653E2" w:rsidRDefault="00F936EB" w:rsidP="00F936EB">
      <w:pPr>
        <w:pStyle w:val="Hangindent"/>
        <w:rPr>
          <w:sz w:val="24"/>
          <w:szCs w:val="24"/>
        </w:rPr>
      </w:pPr>
      <w:r w:rsidRPr="001653E2">
        <w:rPr>
          <w:sz w:val="24"/>
          <w:szCs w:val="24"/>
        </w:rPr>
        <w:t>(2)</w:t>
      </w:r>
      <w:r w:rsidRPr="001653E2">
        <w:rPr>
          <w:sz w:val="24"/>
          <w:szCs w:val="24"/>
        </w:rPr>
        <w:tab/>
        <w:t xml:space="preserve">An order requiring the defence to notify the Director of an intention to adduce evidence under rule 62(2) of the Rules is to be in form 22. </w:t>
      </w:r>
    </w:p>
    <w:p w14:paraId="716DE14E" w14:textId="77777777" w:rsidR="00F936EB" w:rsidRPr="001653E2" w:rsidRDefault="00F936EB" w:rsidP="00F936EB">
      <w:pPr>
        <w:pStyle w:val="Hangindent"/>
        <w:rPr>
          <w:sz w:val="24"/>
          <w:szCs w:val="24"/>
        </w:rPr>
      </w:pPr>
      <w:r w:rsidRPr="001653E2">
        <w:rPr>
          <w:sz w:val="24"/>
          <w:szCs w:val="24"/>
        </w:rPr>
        <w:t>(3)</w:t>
      </w:r>
      <w:r w:rsidRPr="001653E2">
        <w:rPr>
          <w:sz w:val="24"/>
          <w:szCs w:val="24"/>
        </w:rPr>
        <w:tab/>
        <w:t>Notice of the defence’s intention to adduce evidence in response to an order under rule 62(3) of the Rules is to be in form 23.</w:t>
      </w:r>
    </w:p>
    <w:p w14:paraId="1F696AC5" w14:textId="77777777" w:rsidR="00F936EB" w:rsidRDefault="00F936EB" w:rsidP="00F936EB">
      <w:pPr>
        <w:pStyle w:val="clausehead"/>
      </w:pPr>
      <w:bookmarkStart w:id="208" w:name="_Toc394312678"/>
      <w:bookmarkStart w:id="209" w:name="_Toc60132460"/>
      <w:r>
        <w:t xml:space="preserve">40—Expert </w:t>
      </w:r>
      <w:r w:rsidR="0057202B">
        <w:t xml:space="preserve">or alibi </w:t>
      </w:r>
      <w:r>
        <w:t>evidence</w:t>
      </w:r>
      <w:bookmarkEnd w:id="208"/>
      <w:bookmarkEnd w:id="209"/>
    </w:p>
    <w:p w14:paraId="5148E203" w14:textId="77777777" w:rsidR="00F936EB" w:rsidRDefault="00F936EB" w:rsidP="00F936EB">
      <w:pPr>
        <w:pStyle w:val="IndentedPara"/>
        <w:jc w:val="both"/>
        <w:rPr>
          <w:sz w:val="24"/>
          <w:szCs w:val="24"/>
        </w:rPr>
      </w:pPr>
      <w:r>
        <w:rPr>
          <w:sz w:val="24"/>
          <w:szCs w:val="24"/>
        </w:rPr>
        <w:t>N</w:t>
      </w:r>
      <w:r w:rsidRPr="00750571">
        <w:rPr>
          <w:sz w:val="24"/>
          <w:szCs w:val="24"/>
        </w:rPr>
        <w:t xml:space="preserve">otice of intention by the </w:t>
      </w:r>
      <w:proofErr w:type="spellStart"/>
      <w:r w:rsidRPr="00750571">
        <w:rPr>
          <w:sz w:val="24"/>
          <w:szCs w:val="24"/>
        </w:rPr>
        <w:t>defence</w:t>
      </w:r>
      <w:proofErr w:type="spellEnd"/>
      <w:r w:rsidRPr="00750571">
        <w:rPr>
          <w:sz w:val="24"/>
          <w:szCs w:val="24"/>
        </w:rPr>
        <w:t xml:space="preserve"> to introduce expert </w:t>
      </w:r>
      <w:r w:rsidR="0057202B">
        <w:rPr>
          <w:sz w:val="24"/>
          <w:szCs w:val="24"/>
        </w:rPr>
        <w:t xml:space="preserve">or alibi </w:t>
      </w:r>
      <w:r w:rsidRPr="00750571">
        <w:rPr>
          <w:sz w:val="24"/>
          <w:szCs w:val="24"/>
        </w:rPr>
        <w:t>evidence under rule 63 of the Rules is to be in form 24.</w:t>
      </w:r>
    </w:p>
    <w:p w14:paraId="74136B92" w14:textId="77777777" w:rsidR="00F936EB" w:rsidRDefault="00F936EB" w:rsidP="00F936EB">
      <w:pPr>
        <w:pStyle w:val="Part"/>
      </w:pPr>
      <w:bookmarkStart w:id="210" w:name="_Toc391026255"/>
      <w:bookmarkStart w:id="211" w:name="_Toc394312680"/>
      <w:bookmarkStart w:id="212" w:name="_Toc60132461"/>
      <w:r>
        <w:t>Part 2—Admissions</w:t>
      </w:r>
      <w:bookmarkEnd w:id="210"/>
      <w:bookmarkEnd w:id="211"/>
      <w:bookmarkEnd w:id="212"/>
    </w:p>
    <w:p w14:paraId="2812C21E" w14:textId="77777777" w:rsidR="00F936EB" w:rsidRPr="00D32B94" w:rsidRDefault="00F936EB" w:rsidP="00D32B94">
      <w:pPr>
        <w:pStyle w:val="clausehead"/>
        <w:spacing w:after="120"/>
        <w:rPr>
          <w:lang w:val="en-US"/>
        </w:rPr>
      </w:pPr>
      <w:bookmarkStart w:id="213" w:name="_Toc394312679"/>
      <w:bookmarkStart w:id="214" w:name="_Toc60132462"/>
      <w:r w:rsidRPr="00D32B94">
        <w:rPr>
          <w:lang w:val="en-US"/>
        </w:rPr>
        <w:t>41—Dispensing with prosecution witnesses</w:t>
      </w:r>
      <w:bookmarkEnd w:id="213"/>
      <w:bookmarkEnd w:id="214"/>
    </w:p>
    <w:p w14:paraId="72ADB8F6" w14:textId="77777777" w:rsidR="00F936EB" w:rsidRPr="001653E2" w:rsidRDefault="00F936EB" w:rsidP="00F936EB">
      <w:pPr>
        <w:pStyle w:val="Hangindent"/>
        <w:rPr>
          <w:sz w:val="24"/>
          <w:szCs w:val="24"/>
        </w:rPr>
      </w:pPr>
      <w:r w:rsidRPr="001653E2">
        <w:rPr>
          <w:sz w:val="24"/>
          <w:szCs w:val="24"/>
        </w:rPr>
        <w:t>(1)</w:t>
      </w:r>
      <w:r w:rsidRPr="001653E2">
        <w:rPr>
          <w:sz w:val="24"/>
          <w:szCs w:val="24"/>
        </w:rPr>
        <w:tab/>
        <w:t>An application to require the defence to give to the Director notice whether it consents to dispensing with calling certain prosecution witnesses under rule 64(1) of the Rules is to be in form 13.</w:t>
      </w:r>
    </w:p>
    <w:p w14:paraId="0D9D9AD3" w14:textId="77777777" w:rsidR="00F936EB" w:rsidRPr="001653E2" w:rsidRDefault="00F936EB" w:rsidP="00F936EB">
      <w:pPr>
        <w:pStyle w:val="Hangindent"/>
        <w:rPr>
          <w:sz w:val="24"/>
          <w:szCs w:val="24"/>
        </w:rPr>
      </w:pPr>
      <w:r w:rsidRPr="001653E2">
        <w:rPr>
          <w:sz w:val="24"/>
          <w:szCs w:val="24"/>
        </w:rPr>
        <w:t>(2)</w:t>
      </w:r>
      <w:r w:rsidRPr="001653E2">
        <w:rPr>
          <w:sz w:val="24"/>
          <w:szCs w:val="24"/>
        </w:rPr>
        <w:tab/>
        <w:t>An order requiring the defence to notify the Director whether it consents to dispensing with calling certain prosecution witnesses under rule 64(2) of the Rules is to be in form 18.</w:t>
      </w:r>
    </w:p>
    <w:p w14:paraId="72494207" w14:textId="77777777" w:rsidR="00F936EB" w:rsidRPr="001653E2" w:rsidRDefault="00F936EB" w:rsidP="00F936EB">
      <w:pPr>
        <w:pStyle w:val="Hangindent"/>
        <w:rPr>
          <w:sz w:val="24"/>
          <w:szCs w:val="24"/>
        </w:rPr>
      </w:pPr>
      <w:r w:rsidRPr="001653E2">
        <w:rPr>
          <w:sz w:val="24"/>
          <w:szCs w:val="24"/>
        </w:rPr>
        <w:t>(3)</w:t>
      </w:r>
      <w:r w:rsidRPr="001653E2">
        <w:rPr>
          <w:sz w:val="24"/>
          <w:szCs w:val="24"/>
        </w:rPr>
        <w:tab/>
        <w:t>Notice whether the defence consents to dispensing with calling certain prosecution witnesses in response to an order under rule 64(3) of the Rules is to be in form 19.</w:t>
      </w:r>
    </w:p>
    <w:p w14:paraId="7F76FB47" w14:textId="77777777" w:rsidR="00F936EB" w:rsidRDefault="00F936EB" w:rsidP="00FB55F0">
      <w:pPr>
        <w:pStyle w:val="clausehead"/>
        <w:rPr>
          <w:lang w:val="en-US"/>
        </w:rPr>
      </w:pPr>
      <w:bookmarkStart w:id="215" w:name="_Toc394312681"/>
      <w:bookmarkStart w:id="216" w:name="_Toc60132463"/>
      <w:r w:rsidRPr="00D32B94">
        <w:rPr>
          <w:lang w:val="en-US"/>
        </w:rPr>
        <w:t>42</w:t>
      </w:r>
      <w:bookmarkEnd w:id="215"/>
      <w:r w:rsidR="00273167" w:rsidRPr="00D32B94">
        <w:rPr>
          <w:lang w:val="en-US"/>
        </w:rPr>
        <w:t>—</w:t>
      </w:r>
      <w:r w:rsidR="00FB55F0">
        <w:rPr>
          <w:lang w:val="en-US"/>
        </w:rPr>
        <w:t>**************************************************************</w:t>
      </w:r>
      <w:bookmarkEnd w:id="216"/>
    </w:p>
    <w:p w14:paraId="25B55263" w14:textId="77777777" w:rsidR="00F936EB" w:rsidRPr="00AE795B" w:rsidRDefault="00F936EB" w:rsidP="00F936EB">
      <w:pPr>
        <w:pStyle w:val="Part"/>
      </w:pPr>
      <w:bookmarkStart w:id="217" w:name="_Toc391026258"/>
      <w:bookmarkStart w:id="218" w:name="_Toc60132464"/>
      <w:r w:rsidRPr="00AE795B">
        <w:t>Part 3—Subpoenas</w:t>
      </w:r>
      <w:bookmarkEnd w:id="217"/>
      <w:bookmarkEnd w:id="218"/>
    </w:p>
    <w:p w14:paraId="382659F6" w14:textId="77777777" w:rsidR="00F936EB" w:rsidRPr="00D32B94" w:rsidRDefault="00F936EB" w:rsidP="00D32B94">
      <w:pPr>
        <w:pStyle w:val="clausehead"/>
        <w:spacing w:after="120"/>
        <w:rPr>
          <w:lang w:val="en-US"/>
        </w:rPr>
      </w:pPr>
      <w:bookmarkStart w:id="219" w:name="Elkera_Print_TOC267"/>
      <w:bookmarkStart w:id="220" w:name="_Toc387930701"/>
      <w:bookmarkStart w:id="221" w:name="_Toc394312682"/>
      <w:bookmarkStart w:id="222" w:name="_Toc60132465"/>
      <w:r w:rsidRPr="00D32B94">
        <w:rPr>
          <w:lang w:val="en-US"/>
        </w:rPr>
        <w:t>43—Subpoena</w:t>
      </w:r>
      <w:bookmarkEnd w:id="219"/>
      <w:bookmarkEnd w:id="220"/>
      <w:r w:rsidRPr="00D32B94">
        <w:rPr>
          <w:lang w:val="en-US"/>
        </w:rPr>
        <w:t>s</w:t>
      </w:r>
      <w:bookmarkEnd w:id="221"/>
      <w:bookmarkEnd w:id="222"/>
      <w:r w:rsidRPr="00D32B94">
        <w:rPr>
          <w:lang w:val="en-US"/>
        </w:rPr>
        <w:t xml:space="preserve">  </w:t>
      </w:r>
    </w:p>
    <w:p w14:paraId="27C37A16" w14:textId="77777777" w:rsidR="00CA2AFC" w:rsidRPr="00CA2AFC" w:rsidRDefault="00DF24B0" w:rsidP="00CA2AFC">
      <w:pPr>
        <w:pStyle w:val="Hangindent"/>
        <w:rPr>
          <w:sz w:val="24"/>
          <w:szCs w:val="24"/>
        </w:rPr>
      </w:pPr>
      <w:r>
        <w:rPr>
          <w:sz w:val="24"/>
          <w:szCs w:val="24"/>
        </w:rPr>
        <w:t>(1</w:t>
      </w:r>
      <w:r w:rsidR="00F936EB">
        <w:rPr>
          <w:sz w:val="24"/>
          <w:szCs w:val="24"/>
        </w:rPr>
        <w:t>)</w:t>
      </w:r>
      <w:r w:rsidR="00F936EB">
        <w:rPr>
          <w:sz w:val="24"/>
          <w:szCs w:val="24"/>
        </w:rPr>
        <w:tab/>
      </w:r>
      <w:r w:rsidR="00CA2AFC" w:rsidRPr="00CA2AFC">
        <w:rPr>
          <w:sz w:val="24"/>
          <w:szCs w:val="24"/>
        </w:rPr>
        <w:t>A subpoena under rule 68 of the Rules:</w:t>
      </w:r>
    </w:p>
    <w:p w14:paraId="112F6673" w14:textId="77777777" w:rsidR="00CA2AFC" w:rsidRPr="00CA2AFC" w:rsidRDefault="00CA2AFC" w:rsidP="00CA2AFC">
      <w:pPr>
        <w:pStyle w:val="Hangindent"/>
        <w:rPr>
          <w:sz w:val="24"/>
          <w:szCs w:val="24"/>
        </w:rPr>
      </w:pPr>
      <w:r>
        <w:rPr>
          <w:sz w:val="24"/>
          <w:szCs w:val="24"/>
        </w:rPr>
        <w:tab/>
      </w:r>
      <w:r w:rsidRPr="00CA2AFC">
        <w:rPr>
          <w:sz w:val="24"/>
          <w:szCs w:val="24"/>
        </w:rPr>
        <w:t>(a)</w:t>
      </w:r>
      <w:r w:rsidRPr="00CA2AFC">
        <w:rPr>
          <w:sz w:val="24"/>
          <w:szCs w:val="24"/>
        </w:rPr>
        <w:tab/>
        <w:t>to attend to give evidence is to be in form 26A;</w:t>
      </w:r>
    </w:p>
    <w:p w14:paraId="627A160D" w14:textId="77777777" w:rsidR="00CA2AFC" w:rsidRPr="00CA2AFC" w:rsidRDefault="00CA2AFC" w:rsidP="00CA2AFC">
      <w:pPr>
        <w:pStyle w:val="Hangindent"/>
        <w:rPr>
          <w:sz w:val="24"/>
          <w:szCs w:val="24"/>
        </w:rPr>
      </w:pPr>
      <w:r>
        <w:rPr>
          <w:sz w:val="24"/>
          <w:szCs w:val="24"/>
        </w:rPr>
        <w:tab/>
      </w:r>
      <w:r w:rsidRPr="00CA2AFC">
        <w:rPr>
          <w:sz w:val="24"/>
          <w:szCs w:val="24"/>
        </w:rPr>
        <w:t>(b)</w:t>
      </w:r>
      <w:r w:rsidRPr="00CA2AFC">
        <w:rPr>
          <w:sz w:val="24"/>
          <w:szCs w:val="24"/>
        </w:rPr>
        <w:tab/>
        <w:t xml:space="preserve">to produce any document or thing is to be in form 26B; </w:t>
      </w:r>
    </w:p>
    <w:p w14:paraId="00ACED7C" w14:textId="77777777" w:rsidR="00F936EB" w:rsidRPr="001653E2" w:rsidRDefault="00CA2AFC" w:rsidP="00CA2AFC">
      <w:pPr>
        <w:pStyle w:val="Hangindent"/>
        <w:rPr>
          <w:sz w:val="24"/>
          <w:szCs w:val="24"/>
        </w:rPr>
      </w:pPr>
      <w:r>
        <w:rPr>
          <w:sz w:val="24"/>
          <w:szCs w:val="24"/>
        </w:rPr>
        <w:lastRenderedPageBreak/>
        <w:tab/>
      </w:r>
      <w:r w:rsidRPr="00CA2AFC">
        <w:rPr>
          <w:sz w:val="24"/>
          <w:szCs w:val="24"/>
        </w:rPr>
        <w:t>(c)</w:t>
      </w:r>
      <w:r w:rsidRPr="00CA2AFC">
        <w:rPr>
          <w:sz w:val="24"/>
          <w:szCs w:val="24"/>
        </w:rPr>
        <w:tab/>
        <w:t>to do both those things is to be in form 26C.</w:t>
      </w:r>
    </w:p>
    <w:p w14:paraId="051F4BB9" w14:textId="77777777" w:rsidR="00F936EB" w:rsidRDefault="00F936EB" w:rsidP="00F936EB">
      <w:pPr>
        <w:pStyle w:val="Hangindent"/>
        <w:rPr>
          <w:sz w:val="24"/>
          <w:szCs w:val="24"/>
        </w:rPr>
      </w:pPr>
      <w:r>
        <w:rPr>
          <w:sz w:val="24"/>
          <w:szCs w:val="24"/>
        </w:rPr>
        <w:t>(2)</w:t>
      </w:r>
      <w:r>
        <w:rPr>
          <w:sz w:val="24"/>
          <w:szCs w:val="24"/>
        </w:rPr>
        <w:tab/>
      </w:r>
      <w:r w:rsidRPr="001653E2">
        <w:rPr>
          <w:sz w:val="24"/>
          <w:szCs w:val="24"/>
        </w:rPr>
        <w:t>A notice and declaration to be attached to the front of a subpoena to produce under rule 76(3) and (4) of the Rules is to be in form 27.</w:t>
      </w:r>
    </w:p>
    <w:p w14:paraId="0D67BA67" w14:textId="77777777" w:rsidR="00FB55F0" w:rsidRPr="00FB55F0" w:rsidRDefault="00FB55F0" w:rsidP="00FB55F0">
      <w:pPr>
        <w:pStyle w:val="Hangindent"/>
        <w:rPr>
          <w:sz w:val="24"/>
          <w:szCs w:val="24"/>
        </w:rPr>
      </w:pPr>
      <w:r w:rsidRPr="00FB55F0">
        <w:rPr>
          <w:sz w:val="24"/>
          <w:szCs w:val="24"/>
        </w:rPr>
        <w:t>(3)</w:t>
      </w:r>
      <w:r w:rsidRPr="00FB55F0">
        <w:rPr>
          <w:sz w:val="24"/>
          <w:szCs w:val="24"/>
        </w:rPr>
        <w:tab/>
        <w:t>The Registrar may issue a subpoena under Rule</w:t>
      </w:r>
      <w:r>
        <w:rPr>
          <w:sz w:val="24"/>
          <w:szCs w:val="24"/>
        </w:rPr>
        <w:t xml:space="preserve"> 67(4)(b) if the subpoena is </w:t>
      </w:r>
      <w:r w:rsidRPr="00FB55F0">
        <w:rPr>
          <w:sz w:val="24"/>
          <w:szCs w:val="24"/>
        </w:rPr>
        <w:t>accompanied with an affidavit confirming consent of all parties in the proceeding for the subpoena to be issued.</w:t>
      </w:r>
    </w:p>
    <w:p w14:paraId="026E9458" w14:textId="77777777" w:rsidR="00FB55F0" w:rsidRPr="00FB55F0" w:rsidRDefault="00FB55F0" w:rsidP="00FB55F0">
      <w:pPr>
        <w:pStyle w:val="Hangindent"/>
        <w:rPr>
          <w:sz w:val="24"/>
          <w:szCs w:val="24"/>
        </w:rPr>
      </w:pPr>
      <w:r w:rsidRPr="00FB55F0">
        <w:rPr>
          <w:sz w:val="24"/>
          <w:szCs w:val="24"/>
        </w:rPr>
        <w:t>(4)</w:t>
      </w:r>
      <w:r w:rsidRPr="00FB55F0">
        <w:rPr>
          <w:sz w:val="24"/>
          <w:szCs w:val="24"/>
        </w:rPr>
        <w:tab/>
        <w:t>An application to a Judge or Master for the issue of a subpoena is to be made in Form 13.</w:t>
      </w:r>
    </w:p>
    <w:p w14:paraId="673DB681" w14:textId="77777777" w:rsidR="00FB55F0" w:rsidRDefault="00FB55F0" w:rsidP="00F936EB">
      <w:pPr>
        <w:pStyle w:val="Hangindent"/>
        <w:rPr>
          <w:sz w:val="24"/>
          <w:szCs w:val="24"/>
        </w:rPr>
      </w:pPr>
    </w:p>
    <w:p w14:paraId="458F5818" w14:textId="77777777" w:rsidR="00FB55F0" w:rsidRDefault="00FB55F0" w:rsidP="00F936EB">
      <w:pPr>
        <w:pStyle w:val="Hangindent"/>
        <w:rPr>
          <w:sz w:val="24"/>
          <w:szCs w:val="24"/>
        </w:rPr>
      </w:pPr>
    </w:p>
    <w:p w14:paraId="27336A69" w14:textId="77777777" w:rsidR="00F936EB" w:rsidRDefault="00F936EB" w:rsidP="00F936EB">
      <w:pPr>
        <w:spacing w:after="0" w:line="240" w:lineRule="auto"/>
        <w:rPr>
          <w:sz w:val="24"/>
          <w:szCs w:val="24"/>
        </w:rPr>
      </w:pPr>
      <w:r>
        <w:rPr>
          <w:sz w:val="24"/>
          <w:szCs w:val="24"/>
        </w:rPr>
        <w:br w:type="page"/>
      </w:r>
    </w:p>
    <w:p w14:paraId="7A8601E0" w14:textId="77777777" w:rsidR="00F936EB" w:rsidRDefault="00F936EB" w:rsidP="00F936EB">
      <w:pPr>
        <w:pStyle w:val="Chapter"/>
      </w:pPr>
      <w:bookmarkStart w:id="223" w:name="_Toc394312683"/>
      <w:bookmarkStart w:id="224" w:name="_Toc60132466"/>
      <w:r>
        <w:lastRenderedPageBreak/>
        <w:t>Chapter 8—Trial</w:t>
      </w:r>
      <w:bookmarkEnd w:id="223"/>
      <w:bookmarkEnd w:id="224"/>
    </w:p>
    <w:p w14:paraId="0202F660" w14:textId="77777777" w:rsidR="00F936EB" w:rsidRDefault="00F936EB" w:rsidP="00F936EB">
      <w:pPr>
        <w:pStyle w:val="Part"/>
      </w:pPr>
      <w:bookmarkStart w:id="225" w:name="_Toc391026274"/>
      <w:bookmarkStart w:id="226" w:name="_Toc394312684"/>
      <w:bookmarkStart w:id="227" w:name="_Toc60132467"/>
      <w:r>
        <w:t>Part 1—Evidence</w:t>
      </w:r>
      <w:bookmarkEnd w:id="225"/>
      <w:bookmarkEnd w:id="226"/>
      <w:bookmarkEnd w:id="227"/>
    </w:p>
    <w:p w14:paraId="46B26810" w14:textId="77777777" w:rsidR="00F936EB" w:rsidRDefault="00F936EB" w:rsidP="00F936EB">
      <w:pPr>
        <w:pStyle w:val="clausehead"/>
      </w:pPr>
      <w:bookmarkStart w:id="228" w:name="_Toc394312685"/>
      <w:bookmarkStart w:id="229" w:name="_Toc60132468"/>
      <w:r>
        <w:t>44—Evidence to be taken interstate</w:t>
      </w:r>
      <w:bookmarkEnd w:id="228"/>
      <w:r>
        <w:t xml:space="preserve"> or overseas</w:t>
      </w:r>
      <w:bookmarkEnd w:id="229"/>
    </w:p>
    <w:p w14:paraId="454F0794" w14:textId="77777777" w:rsidR="00F936EB" w:rsidRPr="00750571" w:rsidRDefault="00F936EB" w:rsidP="00F936EB">
      <w:pPr>
        <w:pStyle w:val="IndentedPara"/>
        <w:jc w:val="both"/>
        <w:rPr>
          <w:sz w:val="24"/>
          <w:szCs w:val="24"/>
        </w:rPr>
      </w:pPr>
      <w:r w:rsidRPr="00750571">
        <w:rPr>
          <w:sz w:val="24"/>
          <w:szCs w:val="24"/>
        </w:rPr>
        <w:t xml:space="preserve">A request </w:t>
      </w:r>
      <w:r w:rsidRPr="00ED50A0">
        <w:rPr>
          <w:sz w:val="24"/>
          <w:szCs w:val="24"/>
        </w:rPr>
        <w:t>to a foreign court to take evidence</w:t>
      </w:r>
      <w:r w:rsidRPr="00750571">
        <w:rPr>
          <w:sz w:val="24"/>
          <w:szCs w:val="24"/>
        </w:rPr>
        <w:t xml:space="preserve"> under rule 81(1) of the Rules is to be in form 25.</w:t>
      </w:r>
    </w:p>
    <w:p w14:paraId="03E29A7A" w14:textId="77777777" w:rsidR="00F936EB" w:rsidRPr="00D32B94" w:rsidRDefault="00F936EB" w:rsidP="00D32B94">
      <w:pPr>
        <w:pStyle w:val="clausehead"/>
        <w:spacing w:after="120"/>
        <w:rPr>
          <w:lang w:val="en-US"/>
        </w:rPr>
      </w:pPr>
      <w:bookmarkStart w:id="230" w:name="_Toc394312686"/>
      <w:bookmarkStart w:id="231" w:name="_Toc60132469"/>
      <w:r w:rsidRPr="00D32B94">
        <w:rPr>
          <w:lang w:val="en-US"/>
        </w:rPr>
        <w:t>45—Evidence by vulnerable witnesses</w:t>
      </w:r>
      <w:bookmarkEnd w:id="230"/>
      <w:bookmarkEnd w:id="231"/>
    </w:p>
    <w:p w14:paraId="274CE867" w14:textId="77777777" w:rsidR="00F936EB" w:rsidRPr="001653E2" w:rsidRDefault="00F936EB" w:rsidP="00F936EB">
      <w:pPr>
        <w:pStyle w:val="Hangindent"/>
        <w:rPr>
          <w:sz w:val="24"/>
          <w:szCs w:val="24"/>
        </w:rPr>
      </w:pPr>
      <w:r w:rsidRPr="001653E2">
        <w:rPr>
          <w:sz w:val="24"/>
          <w:szCs w:val="24"/>
        </w:rPr>
        <w:t>(1)</w:t>
      </w:r>
      <w:r w:rsidRPr="001653E2">
        <w:rPr>
          <w:sz w:val="24"/>
          <w:szCs w:val="24"/>
        </w:rPr>
        <w:tab/>
        <w:t xml:space="preserve">A party calling a witness who is to give evidence by </w:t>
      </w:r>
      <w:proofErr w:type="spellStart"/>
      <w:r w:rsidRPr="001653E2">
        <w:rPr>
          <w:sz w:val="24"/>
          <w:szCs w:val="24"/>
        </w:rPr>
        <w:t>audiovisual</w:t>
      </w:r>
      <w:proofErr w:type="spellEnd"/>
      <w:r w:rsidRPr="001653E2">
        <w:rPr>
          <w:sz w:val="24"/>
          <w:szCs w:val="24"/>
        </w:rPr>
        <w:t xml:space="preserve"> link from a location remote from the courtroom is to make arrangements with the Sheriff's office for the witness to be brought into the building and to the witness room.</w:t>
      </w:r>
    </w:p>
    <w:p w14:paraId="4C7C8618" w14:textId="77777777" w:rsidR="00F936EB" w:rsidRPr="001653E2" w:rsidRDefault="00F936EB" w:rsidP="00F936EB">
      <w:pPr>
        <w:pStyle w:val="Hangindent"/>
        <w:rPr>
          <w:sz w:val="24"/>
          <w:szCs w:val="24"/>
        </w:rPr>
      </w:pPr>
      <w:r w:rsidRPr="001653E2">
        <w:rPr>
          <w:sz w:val="24"/>
          <w:szCs w:val="24"/>
        </w:rPr>
        <w:t>(2)</w:t>
      </w:r>
      <w:r w:rsidRPr="001653E2">
        <w:rPr>
          <w:sz w:val="24"/>
          <w:szCs w:val="24"/>
        </w:rPr>
        <w:tab/>
        <w:t xml:space="preserve">When counsel wishes to ask questions of a witness giving evidence by </w:t>
      </w:r>
      <w:proofErr w:type="spellStart"/>
      <w:r w:rsidRPr="001653E2">
        <w:rPr>
          <w:sz w:val="24"/>
          <w:szCs w:val="24"/>
        </w:rPr>
        <w:t>audiovisual</w:t>
      </w:r>
      <w:proofErr w:type="spellEnd"/>
      <w:r w:rsidRPr="001653E2">
        <w:rPr>
          <w:sz w:val="24"/>
          <w:szCs w:val="24"/>
        </w:rPr>
        <w:t xml:space="preserve"> link from a remote location relating to a document or thing, counsel is to give sufficient notice to court staff to allow appropriate arrangements to be made for the document or thing to be displayed electronically to the witness or taken to the remote location by court staff.</w:t>
      </w:r>
    </w:p>
    <w:p w14:paraId="603115EB" w14:textId="77777777" w:rsidR="00F936EB" w:rsidRPr="00D32B94" w:rsidRDefault="00F936EB" w:rsidP="00D32B94">
      <w:pPr>
        <w:pStyle w:val="clausehead"/>
        <w:spacing w:after="120"/>
        <w:rPr>
          <w:lang w:val="en-US"/>
        </w:rPr>
      </w:pPr>
      <w:bookmarkStart w:id="232" w:name="_Toc168477055"/>
      <w:bookmarkStart w:id="233" w:name="_Toc179619646"/>
      <w:bookmarkStart w:id="234" w:name="_Toc373151259"/>
      <w:bookmarkStart w:id="235" w:name="_Toc394312688"/>
      <w:bookmarkStart w:id="236" w:name="_Toc60132470"/>
      <w:bookmarkStart w:id="237" w:name="_Toc168477049"/>
      <w:bookmarkStart w:id="238" w:name="_Toc179619641"/>
      <w:bookmarkStart w:id="239" w:name="_Toc373151253"/>
      <w:r w:rsidRPr="00D32B94">
        <w:rPr>
          <w:lang w:val="en-US"/>
        </w:rPr>
        <w:t>46—Conduct of trials</w:t>
      </w:r>
      <w:bookmarkEnd w:id="232"/>
      <w:bookmarkEnd w:id="233"/>
      <w:bookmarkEnd w:id="234"/>
      <w:bookmarkEnd w:id="235"/>
      <w:bookmarkEnd w:id="236"/>
    </w:p>
    <w:p w14:paraId="5622B1FC" w14:textId="77777777" w:rsidR="00F936EB" w:rsidRPr="001653E2" w:rsidRDefault="00F936EB" w:rsidP="00F936EB">
      <w:pPr>
        <w:pStyle w:val="Hangindent"/>
        <w:rPr>
          <w:sz w:val="24"/>
          <w:szCs w:val="24"/>
        </w:rPr>
      </w:pPr>
      <w:r w:rsidRPr="001653E2">
        <w:rPr>
          <w:sz w:val="24"/>
          <w:szCs w:val="24"/>
        </w:rPr>
        <w:t>(1)</w:t>
      </w:r>
      <w:r w:rsidRPr="001653E2">
        <w:rPr>
          <w:sz w:val="24"/>
          <w:szCs w:val="24"/>
        </w:rPr>
        <w:tab/>
        <w:t>This supplementary rule applies subject to any contrary direction by the trial Judge.</w:t>
      </w:r>
    </w:p>
    <w:p w14:paraId="0C12F3AE" w14:textId="77777777" w:rsidR="00F936EB" w:rsidRPr="001653E2" w:rsidRDefault="00F936EB" w:rsidP="00F936EB">
      <w:pPr>
        <w:pStyle w:val="Hangindent"/>
        <w:rPr>
          <w:sz w:val="24"/>
          <w:szCs w:val="24"/>
        </w:rPr>
      </w:pPr>
      <w:r>
        <w:rPr>
          <w:sz w:val="24"/>
          <w:szCs w:val="24"/>
        </w:rPr>
        <w:t>(2)</w:t>
      </w:r>
      <w:r>
        <w:rPr>
          <w:sz w:val="24"/>
          <w:szCs w:val="24"/>
        </w:rPr>
        <w:tab/>
      </w:r>
      <w:r w:rsidRPr="001653E2">
        <w:rPr>
          <w:sz w:val="24"/>
          <w:szCs w:val="24"/>
        </w:rPr>
        <w:t>Defence counsel will sit at the end of the bar table closer to the dock.</w:t>
      </w:r>
    </w:p>
    <w:p w14:paraId="4E1B199A" w14:textId="77777777" w:rsidR="00F936EB" w:rsidRPr="001653E2" w:rsidRDefault="00F936EB" w:rsidP="00F936EB">
      <w:pPr>
        <w:pStyle w:val="Hangindent"/>
        <w:rPr>
          <w:sz w:val="24"/>
          <w:szCs w:val="24"/>
        </w:rPr>
      </w:pPr>
      <w:r w:rsidRPr="001653E2">
        <w:rPr>
          <w:sz w:val="24"/>
          <w:szCs w:val="24"/>
        </w:rPr>
        <w:t>(3)</w:t>
      </w:r>
      <w:r w:rsidRPr="001653E2">
        <w:rPr>
          <w:sz w:val="24"/>
          <w:szCs w:val="24"/>
        </w:rPr>
        <w:tab/>
        <w:t>The Judge will be present on the Bench when—</w:t>
      </w:r>
    </w:p>
    <w:p w14:paraId="00B1F60D" w14:textId="77777777" w:rsidR="00F936EB" w:rsidRPr="00750571" w:rsidRDefault="00F936EB" w:rsidP="00F936EB">
      <w:pPr>
        <w:pStyle w:val="Doublehangingindent"/>
        <w:jc w:val="both"/>
        <w:rPr>
          <w:sz w:val="24"/>
          <w:szCs w:val="24"/>
        </w:rPr>
      </w:pPr>
      <w:r w:rsidRPr="00750571">
        <w:rPr>
          <w:sz w:val="24"/>
          <w:szCs w:val="24"/>
        </w:rPr>
        <w:t>(a)</w:t>
      </w:r>
      <w:r w:rsidRPr="00750571">
        <w:rPr>
          <w:sz w:val="24"/>
          <w:szCs w:val="24"/>
        </w:rPr>
        <w:tab/>
        <w:t>an accused enters the dock;</w:t>
      </w:r>
    </w:p>
    <w:p w14:paraId="463900AD" w14:textId="77777777" w:rsidR="00F936EB" w:rsidRPr="00750571" w:rsidRDefault="00F936EB" w:rsidP="00F936EB">
      <w:pPr>
        <w:pStyle w:val="Doublehangingindent"/>
        <w:jc w:val="both"/>
        <w:rPr>
          <w:sz w:val="24"/>
          <w:szCs w:val="24"/>
        </w:rPr>
      </w:pPr>
      <w:r>
        <w:rPr>
          <w:sz w:val="24"/>
          <w:szCs w:val="24"/>
        </w:rPr>
        <w:t>(b)</w:t>
      </w:r>
      <w:r>
        <w:rPr>
          <w:sz w:val="24"/>
          <w:szCs w:val="24"/>
        </w:rPr>
        <w:tab/>
      </w:r>
      <w:r w:rsidRPr="00750571">
        <w:rPr>
          <w:sz w:val="24"/>
          <w:szCs w:val="24"/>
        </w:rPr>
        <w:t>the jury enters and leaves the courtroom;</w:t>
      </w:r>
    </w:p>
    <w:p w14:paraId="13DBD048" w14:textId="77777777" w:rsidR="00F936EB" w:rsidRPr="00750571" w:rsidRDefault="00F936EB" w:rsidP="00F936EB">
      <w:pPr>
        <w:pStyle w:val="Doublehangingindent"/>
        <w:jc w:val="both"/>
        <w:rPr>
          <w:sz w:val="24"/>
          <w:szCs w:val="24"/>
        </w:rPr>
      </w:pPr>
      <w:r w:rsidRPr="00750571">
        <w:rPr>
          <w:sz w:val="24"/>
          <w:szCs w:val="24"/>
        </w:rPr>
        <w:t>(c)</w:t>
      </w:r>
      <w:r w:rsidRPr="00750571">
        <w:rPr>
          <w:sz w:val="24"/>
          <w:szCs w:val="24"/>
        </w:rPr>
        <w:tab/>
      </w:r>
      <w:r>
        <w:rPr>
          <w:sz w:val="24"/>
          <w:szCs w:val="24"/>
        </w:rPr>
        <w:t>a witness</w:t>
      </w:r>
      <w:r w:rsidRPr="00750571">
        <w:rPr>
          <w:sz w:val="24"/>
          <w:szCs w:val="24"/>
        </w:rPr>
        <w:t xml:space="preserve"> enter</w:t>
      </w:r>
      <w:r>
        <w:rPr>
          <w:sz w:val="24"/>
          <w:szCs w:val="24"/>
        </w:rPr>
        <w:t>s</w:t>
      </w:r>
      <w:r w:rsidRPr="00750571">
        <w:rPr>
          <w:sz w:val="24"/>
          <w:szCs w:val="24"/>
        </w:rPr>
        <w:t xml:space="preserve"> or leave</w:t>
      </w:r>
      <w:r>
        <w:rPr>
          <w:sz w:val="24"/>
          <w:szCs w:val="24"/>
        </w:rPr>
        <w:t>s</w:t>
      </w:r>
      <w:r w:rsidRPr="00750571">
        <w:rPr>
          <w:sz w:val="24"/>
          <w:szCs w:val="24"/>
        </w:rPr>
        <w:t xml:space="preserve"> the courtroom while the accused is in the dock.</w:t>
      </w:r>
    </w:p>
    <w:p w14:paraId="72D21A84" w14:textId="77777777" w:rsidR="00F936EB" w:rsidRPr="001653E2" w:rsidRDefault="00F936EB" w:rsidP="00F936EB">
      <w:pPr>
        <w:pStyle w:val="Hangindent"/>
        <w:rPr>
          <w:sz w:val="24"/>
          <w:szCs w:val="24"/>
        </w:rPr>
      </w:pPr>
      <w:r w:rsidRPr="001653E2">
        <w:rPr>
          <w:sz w:val="24"/>
          <w:szCs w:val="24"/>
        </w:rPr>
        <w:t>(4)</w:t>
      </w:r>
      <w:r w:rsidRPr="001653E2">
        <w:rPr>
          <w:sz w:val="24"/>
          <w:szCs w:val="24"/>
        </w:rPr>
        <w:tab/>
        <w:t>When a jury is abo</w:t>
      </w:r>
      <w:r>
        <w:rPr>
          <w:sz w:val="24"/>
          <w:szCs w:val="24"/>
        </w:rPr>
        <w:t>ut to be empanelled, an</w:t>
      </w:r>
      <w:r w:rsidRPr="001653E2">
        <w:rPr>
          <w:sz w:val="24"/>
          <w:szCs w:val="24"/>
        </w:rPr>
        <w:t xml:space="preserve"> accused will enter the dock in the presence of the Judge and the jury panel.  If counsel seeks a direction to the contrary, it should be requested before the jury panel is brought to the courtroom.</w:t>
      </w:r>
    </w:p>
    <w:p w14:paraId="01503B49" w14:textId="77777777" w:rsidR="00F936EB" w:rsidRPr="00D32B94" w:rsidRDefault="00F936EB" w:rsidP="00D32B94">
      <w:pPr>
        <w:pStyle w:val="clausehead"/>
        <w:spacing w:after="120"/>
        <w:rPr>
          <w:lang w:val="en-US"/>
        </w:rPr>
      </w:pPr>
      <w:bookmarkStart w:id="240" w:name="_Toc168477054"/>
      <w:bookmarkStart w:id="241" w:name="_Toc179619645"/>
      <w:bookmarkStart w:id="242" w:name="_Toc373151258"/>
      <w:bookmarkStart w:id="243" w:name="_Toc394312689"/>
      <w:bookmarkStart w:id="244" w:name="_Toc60132471"/>
      <w:r w:rsidRPr="00D32B94">
        <w:rPr>
          <w:lang w:val="en-US"/>
        </w:rPr>
        <w:t>47—Conduct of views</w:t>
      </w:r>
      <w:bookmarkEnd w:id="240"/>
      <w:bookmarkEnd w:id="241"/>
      <w:bookmarkEnd w:id="242"/>
      <w:bookmarkEnd w:id="243"/>
      <w:bookmarkEnd w:id="244"/>
    </w:p>
    <w:p w14:paraId="7DFF0069" w14:textId="77777777" w:rsidR="00F936EB" w:rsidRPr="001653E2" w:rsidRDefault="00F936EB" w:rsidP="00F936EB">
      <w:pPr>
        <w:pStyle w:val="Hangindent"/>
        <w:rPr>
          <w:sz w:val="24"/>
          <w:szCs w:val="24"/>
        </w:rPr>
      </w:pPr>
      <w:r w:rsidRPr="001653E2">
        <w:rPr>
          <w:sz w:val="24"/>
          <w:szCs w:val="24"/>
        </w:rPr>
        <w:t>(1)</w:t>
      </w:r>
      <w:r w:rsidRPr="001653E2">
        <w:rPr>
          <w:sz w:val="24"/>
          <w:szCs w:val="24"/>
        </w:rPr>
        <w:tab/>
        <w:t>This supplementary rule applies subject to any contrary direction by the trial Judge.</w:t>
      </w:r>
    </w:p>
    <w:p w14:paraId="3ABFB262" w14:textId="77777777" w:rsidR="00F936EB" w:rsidRPr="001653E2" w:rsidRDefault="00F936EB" w:rsidP="00F936EB">
      <w:pPr>
        <w:pStyle w:val="Hangindent"/>
        <w:rPr>
          <w:sz w:val="24"/>
          <w:szCs w:val="24"/>
        </w:rPr>
      </w:pPr>
      <w:r w:rsidRPr="001653E2">
        <w:rPr>
          <w:sz w:val="24"/>
          <w:szCs w:val="24"/>
        </w:rPr>
        <w:t>(2)</w:t>
      </w:r>
      <w:r w:rsidRPr="001653E2">
        <w:rPr>
          <w:sz w:val="24"/>
          <w:szCs w:val="24"/>
        </w:rPr>
        <w:tab/>
        <w:t>A view is part of the trial and is under the control of the trial Judge.</w:t>
      </w:r>
    </w:p>
    <w:p w14:paraId="672B30BE" w14:textId="77777777" w:rsidR="00F936EB" w:rsidRPr="001653E2" w:rsidRDefault="00F936EB" w:rsidP="00F936EB">
      <w:pPr>
        <w:pStyle w:val="Hangindent"/>
        <w:rPr>
          <w:sz w:val="24"/>
          <w:szCs w:val="24"/>
        </w:rPr>
      </w:pPr>
      <w:r w:rsidRPr="001653E2">
        <w:rPr>
          <w:sz w:val="24"/>
          <w:szCs w:val="24"/>
        </w:rPr>
        <w:t>(3)</w:t>
      </w:r>
      <w:r w:rsidRPr="001653E2">
        <w:rPr>
          <w:sz w:val="24"/>
          <w:szCs w:val="24"/>
        </w:rPr>
        <w:tab/>
        <w:t>Any person may attend on a view, but this supplementary rule does not authorise any such person to trespass on private property.</w:t>
      </w:r>
    </w:p>
    <w:p w14:paraId="7EF9CC60" w14:textId="77777777" w:rsidR="00F936EB" w:rsidRPr="001653E2" w:rsidRDefault="00F936EB" w:rsidP="00F936EB">
      <w:pPr>
        <w:pStyle w:val="Hangindent"/>
        <w:rPr>
          <w:sz w:val="24"/>
          <w:szCs w:val="24"/>
        </w:rPr>
      </w:pPr>
      <w:r w:rsidRPr="001653E2">
        <w:rPr>
          <w:sz w:val="24"/>
          <w:szCs w:val="24"/>
        </w:rPr>
        <w:t>(4)</w:t>
      </w:r>
      <w:r w:rsidRPr="001653E2">
        <w:rPr>
          <w:sz w:val="24"/>
          <w:szCs w:val="24"/>
        </w:rPr>
        <w:tab/>
        <w:t>When a view takes place in a confined space, the trial Judge may limit the persons to enter that space.</w:t>
      </w:r>
    </w:p>
    <w:p w14:paraId="50227988" w14:textId="77777777" w:rsidR="00F936EB" w:rsidRPr="001653E2" w:rsidRDefault="00F936EB" w:rsidP="00F936EB">
      <w:pPr>
        <w:pStyle w:val="Hangindent"/>
        <w:rPr>
          <w:sz w:val="24"/>
          <w:szCs w:val="24"/>
        </w:rPr>
      </w:pPr>
      <w:r w:rsidRPr="001653E2">
        <w:rPr>
          <w:sz w:val="24"/>
          <w:szCs w:val="24"/>
        </w:rPr>
        <w:t>(5)</w:t>
      </w:r>
      <w:r w:rsidRPr="001653E2">
        <w:rPr>
          <w:sz w:val="24"/>
          <w:szCs w:val="24"/>
        </w:rPr>
        <w:tab/>
        <w:t>No member of the media or the public is to be in such proximity to jurors as to be able to overhear what is said between them.</w:t>
      </w:r>
    </w:p>
    <w:p w14:paraId="559D3D95" w14:textId="77777777" w:rsidR="00F936EB" w:rsidRPr="001653E2" w:rsidRDefault="00F936EB" w:rsidP="00F936EB">
      <w:pPr>
        <w:pStyle w:val="Hangindent"/>
        <w:rPr>
          <w:sz w:val="24"/>
          <w:szCs w:val="24"/>
        </w:rPr>
      </w:pPr>
      <w:r w:rsidRPr="001653E2">
        <w:rPr>
          <w:sz w:val="24"/>
          <w:szCs w:val="24"/>
        </w:rPr>
        <w:t>(6)</w:t>
      </w:r>
      <w:r w:rsidRPr="001653E2">
        <w:rPr>
          <w:sz w:val="24"/>
          <w:szCs w:val="24"/>
        </w:rPr>
        <w:tab/>
        <w:t>No member of the media or the public is to be in such proximity to the trial Judge or counsel as to be able to overhear private conversations.</w:t>
      </w:r>
    </w:p>
    <w:p w14:paraId="0C505B8B" w14:textId="77777777" w:rsidR="00F936EB" w:rsidRPr="001653E2" w:rsidRDefault="00F936EB" w:rsidP="00F936EB">
      <w:pPr>
        <w:pStyle w:val="Hangindent"/>
        <w:rPr>
          <w:sz w:val="24"/>
          <w:szCs w:val="24"/>
        </w:rPr>
      </w:pPr>
      <w:r w:rsidRPr="001653E2">
        <w:rPr>
          <w:sz w:val="24"/>
          <w:szCs w:val="24"/>
        </w:rPr>
        <w:lastRenderedPageBreak/>
        <w:t>(7)</w:t>
      </w:r>
      <w:r w:rsidRPr="001653E2">
        <w:rPr>
          <w:sz w:val="24"/>
          <w:szCs w:val="24"/>
        </w:rPr>
        <w:tab/>
        <w:t>Jurors are not to be filmed, photographed or sketched.</w:t>
      </w:r>
    </w:p>
    <w:p w14:paraId="01D491E1" w14:textId="77777777" w:rsidR="00F936EB" w:rsidRPr="001653E2" w:rsidRDefault="00F936EB" w:rsidP="00F936EB">
      <w:pPr>
        <w:pStyle w:val="Hangindent"/>
        <w:rPr>
          <w:sz w:val="24"/>
          <w:szCs w:val="24"/>
        </w:rPr>
      </w:pPr>
      <w:r w:rsidRPr="001653E2">
        <w:rPr>
          <w:sz w:val="24"/>
          <w:szCs w:val="24"/>
        </w:rPr>
        <w:t>(8)</w:t>
      </w:r>
      <w:r w:rsidRPr="001653E2">
        <w:rPr>
          <w:sz w:val="24"/>
          <w:szCs w:val="24"/>
        </w:rPr>
        <w:tab/>
        <w:t>Witnesses are not to be filmed or photographed.</w:t>
      </w:r>
    </w:p>
    <w:p w14:paraId="52ED28EC" w14:textId="77777777" w:rsidR="00F936EB" w:rsidRPr="001653E2" w:rsidRDefault="00F936EB" w:rsidP="00F936EB">
      <w:pPr>
        <w:pStyle w:val="Hangindent"/>
        <w:rPr>
          <w:sz w:val="24"/>
          <w:szCs w:val="24"/>
        </w:rPr>
      </w:pPr>
      <w:r w:rsidRPr="001653E2">
        <w:rPr>
          <w:sz w:val="24"/>
          <w:szCs w:val="24"/>
        </w:rPr>
        <w:t>(9)</w:t>
      </w:r>
      <w:r w:rsidRPr="001653E2">
        <w:rPr>
          <w:sz w:val="24"/>
          <w:szCs w:val="24"/>
        </w:rPr>
        <w:tab/>
        <w:t>If there is no suppression order relating to the identity of an accused, he or she may be filmed, photographed and sketched from a distance, but not so as to show that he or she is in custody or under restraint or in any way that might suggest guilt.</w:t>
      </w:r>
    </w:p>
    <w:p w14:paraId="6F47CAD0" w14:textId="77777777" w:rsidR="00F936EB" w:rsidRPr="001653E2" w:rsidRDefault="00F936EB" w:rsidP="00F936EB">
      <w:pPr>
        <w:pStyle w:val="Hangindent"/>
        <w:rPr>
          <w:sz w:val="24"/>
          <w:szCs w:val="24"/>
        </w:rPr>
      </w:pPr>
      <w:r w:rsidRPr="001653E2">
        <w:rPr>
          <w:sz w:val="24"/>
          <w:szCs w:val="24"/>
        </w:rPr>
        <w:t>(10)</w:t>
      </w:r>
      <w:r w:rsidRPr="001653E2">
        <w:rPr>
          <w:sz w:val="24"/>
          <w:szCs w:val="24"/>
        </w:rPr>
        <w:tab/>
        <w:t>There is to be no sound recording at a view</w:t>
      </w:r>
      <w:r>
        <w:rPr>
          <w:sz w:val="24"/>
          <w:szCs w:val="24"/>
        </w:rPr>
        <w:t xml:space="preserve"> other than by the court reporter</w:t>
      </w:r>
      <w:r w:rsidRPr="001653E2">
        <w:rPr>
          <w:sz w:val="24"/>
          <w:szCs w:val="24"/>
        </w:rPr>
        <w:t>.</w:t>
      </w:r>
    </w:p>
    <w:p w14:paraId="303C7FAE" w14:textId="77777777" w:rsidR="00F936EB" w:rsidRPr="00D32B94" w:rsidRDefault="00F936EB" w:rsidP="00D32B94">
      <w:pPr>
        <w:pStyle w:val="clausehead"/>
        <w:spacing w:after="120"/>
        <w:rPr>
          <w:lang w:val="en-US"/>
        </w:rPr>
      </w:pPr>
      <w:bookmarkStart w:id="245" w:name="_Toc394312690"/>
      <w:bookmarkStart w:id="246" w:name="_Toc60132472"/>
      <w:r w:rsidRPr="00D32B94">
        <w:rPr>
          <w:lang w:val="en-US"/>
        </w:rPr>
        <w:t>48—Witness identification</w:t>
      </w:r>
      <w:bookmarkEnd w:id="237"/>
      <w:bookmarkEnd w:id="238"/>
      <w:bookmarkEnd w:id="239"/>
      <w:bookmarkEnd w:id="245"/>
      <w:bookmarkEnd w:id="246"/>
    </w:p>
    <w:p w14:paraId="1BFB0244" w14:textId="77777777" w:rsidR="00F936EB" w:rsidRPr="001653E2" w:rsidRDefault="00F936EB" w:rsidP="00F936EB">
      <w:pPr>
        <w:pStyle w:val="Hangindent"/>
        <w:rPr>
          <w:sz w:val="24"/>
          <w:szCs w:val="24"/>
        </w:rPr>
      </w:pPr>
      <w:r w:rsidRPr="001653E2">
        <w:rPr>
          <w:sz w:val="24"/>
          <w:szCs w:val="24"/>
        </w:rPr>
        <w:t>(1)</w:t>
      </w:r>
      <w:r w:rsidRPr="001653E2">
        <w:rPr>
          <w:sz w:val="24"/>
          <w:szCs w:val="24"/>
        </w:rPr>
        <w:tab/>
        <w:t xml:space="preserve">A witness in a criminal proceeding is required to submit his or her address in writing for inclusion in court records.  A lawyer calling a witness is to arrange for the witness to write out his or her address and hand it to the Judge’s associate </w:t>
      </w:r>
      <w:r>
        <w:rPr>
          <w:sz w:val="24"/>
          <w:szCs w:val="24"/>
        </w:rPr>
        <w:t>when</w:t>
      </w:r>
      <w:r w:rsidRPr="001653E2">
        <w:rPr>
          <w:sz w:val="24"/>
          <w:szCs w:val="24"/>
        </w:rPr>
        <w:t xml:space="preserve"> taking the oath or affirmation.</w:t>
      </w:r>
    </w:p>
    <w:p w14:paraId="0792AC32" w14:textId="77777777" w:rsidR="00F936EB" w:rsidRPr="001653E2" w:rsidRDefault="00F936EB" w:rsidP="00F936EB">
      <w:pPr>
        <w:pStyle w:val="Hangindent"/>
        <w:rPr>
          <w:sz w:val="24"/>
          <w:szCs w:val="24"/>
        </w:rPr>
      </w:pPr>
      <w:r w:rsidRPr="001653E2">
        <w:rPr>
          <w:sz w:val="24"/>
          <w:szCs w:val="24"/>
        </w:rPr>
        <w:t>(2)</w:t>
      </w:r>
      <w:r w:rsidRPr="001653E2">
        <w:rPr>
          <w:sz w:val="24"/>
          <w:szCs w:val="24"/>
        </w:rPr>
        <w:tab/>
        <w:t xml:space="preserve">A witness in a criminal proceeding will not be asked when taking the oath or affirmation to state his or her address or occupation.  </w:t>
      </w:r>
    </w:p>
    <w:p w14:paraId="20E4A433" w14:textId="77777777" w:rsidR="00F936EB" w:rsidRPr="001653E2" w:rsidRDefault="00F936EB" w:rsidP="00F936EB">
      <w:pPr>
        <w:pStyle w:val="Hangindent"/>
        <w:rPr>
          <w:sz w:val="24"/>
          <w:szCs w:val="24"/>
        </w:rPr>
      </w:pPr>
      <w:r w:rsidRPr="001653E2">
        <w:rPr>
          <w:sz w:val="24"/>
          <w:szCs w:val="24"/>
        </w:rPr>
        <w:t>(3)</w:t>
      </w:r>
      <w:r w:rsidRPr="001653E2">
        <w:rPr>
          <w:sz w:val="24"/>
          <w:szCs w:val="24"/>
        </w:rPr>
        <w:tab/>
        <w:t>This supplementary rule does not restrict the right of counsel for either party to ask a witness to state his or her address or occupation if the address or occupation, as the case may be, is relevant to an issue or to credit.</w:t>
      </w:r>
    </w:p>
    <w:p w14:paraId="7E7C0E8B" w14:textId="77777777" w:rsidR="00F936EB" w:rsidRPr="001F3E6F" w:rsidRDefault="00F936EB" w:rsidP="00F936EB">
      <w:pPr>
        <w:pStyle w:val="Part"/>
      </w:pPr>
      <w:bookmarkStart w:id="247" w:name="_Toc396143842"/>
      <w:bookmarkStart w:id="248" w:name="_Toc60132473"/>
      <w:r w:rsidRPr="001F3E6F">
        <w:t>Part 2—Exhibits</w:t>
      </w:r>
      <w:bookmarkEnd w:id="247"/>
      <w:bookmarkEnd w:id="248"/>
    </w:p>
    <w:p w14:paraId="7846D86A"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50E94654" w14:textId="77777777" w:rsidR="00FC6D29" w:rsidRPr="00FC6D29" w:rsidRDefault="00FC6D29" w:rsidP="00FC6D29">
      <w:pPr>
        <w:pStyle w:val="Part"/>
      </w:pPr>
      <w:bookmarkStart w:id="249" w:name="_Toc60132474"/>
      <w:r w:rsidRPr="00FC6D29">
        <w:t>Part 3—Publication of reasons for judgment</w:t>
      </w:r>
      <w:bookmarkEnd w:id="249"/>
    </w:p>
    <w:p w14:paraId="36018162" w14:textId="77777777" w:rsidR="00FC6D29" w:rsidRPr="00FC6D29" w:rsidRDefault="00FC6D29" w:rsidP="00FC6D29">
      <w:pPr>
        <w:pStyle w:val="clausehead"/>
        <w:spacing w:after="120"/>
        <w:rPr>
          <w:lang w:val="en-US"/>
        </w:rPr>
      </w:pPr>
      <w:bookmarkStart w:id="250" w:name="_Toc60132475"/>
      <w:r w:rsidRPr="00FC6D29">
        <w:rPr>
          <w:lang w:val="en-US"/>
        </w:rPr>
        <w:t>48A—Publication of reasons for judgment</w:t>
      </w:r>
      <w:bookmarkEnd w:id="250"/>
      <w:r w:rsidRPr="00FC6D29">
        <w:rPr>
          <w:lang w:val="en-US"/>
        </w:rPr>
        <w:t xml:space="preserve"> </w:t>
      </w:r>
    </w:p>
    <w:p w14:paraId="72CD63E4" w14:textId="77777777" w:rsidR="00FC6D29" w:rsidRPr="00FC6D29" w:rsidRDefault="00FC6D29" w:rsidP="00FC6D29">
      <w:pPr>
        <w:pStyle w:val="Hangindent"/>
        <w:rPr>
          <w:sz w:val="24"/>
          <w:szCs w:val="24"/>
        </w:rPr>
      </w:pPr>
      <w:r>
        <w:rPr>
          <w:sz w:val="24"/>
          <w:szCs w:val="24"/>
        </w:rPr>
        <w:t>(1)</w:t>
      </w:r>
      <w:r>
        <w:rPr>
          <w:sz w:val="24"/>
          <w:szCs w:val="24"/>
        </w:rPr>
        <w:tab/>
      </w:r>
      <w:r w:rsidRPr="00FC6D29">
        <w:rPr>
          <w:sz w:val="24"/>
          <w:szCs w:val="24"/>
        </w:rPr>
        <w:t xml:space="preserve">The Court aims to deliver judgment in routine cases within 3 months of reservation of judgment. However, there will be particular cases in which the target is not appropriate and other cases in which, due to workloads and other matters, it will not be practicable for a Judge to observe a target. </w:t>
      </w:r>
    </w:p>
    <w:p w14:paraId="4C7E131F" w14:textId="77777777" w:rsidR="00FC6D29" w:rsidRPr="00FC6D29" w:rsidRDefault="00FC6D29" w:rsidP="00FC6D29">
      <w:pPr>
        <w:pStyle w:val="Hangindent"/>
        <w:rPr>
          <w:sz w:val="24"/>
          <w:szCs w:val="24"/>
        </w:rPr>
      </w:pPr>
      <w:r>
        <w:rPr>
          <w:sz w:val="24"/>
          <w:szCs w:val="24"/>
        </w:rPr>
        <w:t>(2)</w:t>
      </w:r>
      <w:r>
        <w:rPr>
          <w:sz w:val="24"/>
          <w:szCs w:val="24"/>
        </w:rPr>
        <w:tab/>
      </w:r>
      <w:r w:rsidRPr="00FC6D29">
        <w:rPr>
          <w:sz w:val="24"/>
          <w:szCs w:val="24"/>
        </w:rPr>
        <w:t>When judgment is not delivered within 3 months of reservation of judgment, a party may by letter addressed to the Chief Judge inquire about progress of the judgment.</w:t>
      </w:r>
    </w:p>
    <w:p w14:paraId="1BB05851" w14:textId="77777777" w:rsidR="00FC6D29" w:rsidRPr="00FC6D29" w:rsidRDefault="00FC6D29" w:rsidP="00FC6D29">
      <w:pPr>
        <w:pStyle w:val="Hangindent"/>
        <w:rPr>
          <w:sz w:val="24"/>
          <w:szCs w:val="24"/>
        </w:rPr>
      </w:pPr>
      <w:r>
        <w:rPr>
          <w:sz w:val="24"/>
          <w:szCs w:val="24"/>
        </w:rPr>
        <w:t>(3)</w:t>
      </w:r>
      <w:r>
        <w:rPr>
          <w:sz w:val="24"/>
          <w:szCs w:val="24"/>
        </w:rPr>
        <w:tab/>
      </w:r>
      <w:r w:rsidRPr="00FC6D29">
        <w:rPr>
          <w:sz w:val="24"/>
          <w:szCs w:val="24"/>
        </w:rPr>
        <w:t xml:space="preserve">The party making such an inquiry is to deliver a copy of the letter to all other parties to the action. </w:t>
      </w:r>
    </w:p>
    <w:p w14:paraId="5738DCE9" w14:textId="77777777" w:rsidR="00FC6D29" w:rsidRPr="00FC6D29" w:rsidRDefault="00FC6D29" w:rsidP="00FC6D29">
      <w:pPr>
        <w:pStyle w:val="Hangindent"/>
        <w:rPr>
          <w:sz w:val="24"/>
          <w:szCs w:val="24"/>
        </w:rPr>
      </w:pPr>
      <w:r>
        <w:rPr>
          <w:sz w:val="24"/>
          <w:szCs w:val="24"/>
        </w:rPr>
        <w:t>(4)</w:t>
      </w:r>
      <w:r>
        <w:rPr>
          <w:sz w:val="24"/>
          <w:szCs w:val="24"/>
        </w:rPr>
        <w:tab/>
      </w:r>
      <w:r w:rsidRPr="00FC6D29">
        <w:rPr>
          <w:sz w:val="24"/>
          <w:szCs w:val="24"/>
        </w:rPr>
        <w:t>The identity of a party making such an inquiry is not to be disclosed to—</w:t>
      </w:r>
    </w:p>
    <w:p w14:paraId="3B7FCD68" w14:textId="77777777" w:rsidR="00FC6D29" w:rsidRDefault="00FC6D29" w:rsidP="00FC6D29">
      <w:pPr>
        <w:pStyle w:val="Doublehangingindent"/>
        <w:jc w:val="both"/>
        <w:rPr>
          <w:sz w:val="24"/>
          <w:szCs w:val="24"/>
        </w:rPr>
      </w:pPr>
      <w:r>
        <w:rPr>
          <w:sz w:val="24"/>
          <w:szCs w:val="24"/>
        </w:rPr>
        <w:t>(a)</w:t>
      </w:r>
      <w:r>
        <w:rPr>
          <w:sz w:val="24"/>
          <w:szCs w:val="24"/>
        </w:rPr>
        <w:tab/>
      </w:r>
      <w:r w:rsidRPr="00FC6D29">
        <w:rPr>
          <w:sz w:val="24"/>
          <w:szCs w:val="24"/>
        </w:rPr>
        <w:t>a judicial officer other than the Chief Judge; and</w:t>
      </w:r>
    </w:p>
    <w:p w14:paraId="30F7E4CD" w14:textId="77777777" w:rsidR="00FC6D29" w:rsidRPr="00FC6D29" w:rsidRDefault="00FC6D29" w:rsidP="00FC6D29">
      <w:pPr>
        <w:pStyle w:val="Doublehangingindent"/>
        <w:jc w:val="both"/>
        <w:rPr>
          <w:sz w:val="24"/>
          <w:szCs w:val="24"/>
        </w:rPr>
      </w:pPr>
      <w:r>
        <w:rPr>
          <w:sz w:val="24"/>
          <w:szCs w:val="24"/>
        </w:rPr>
        <w:t>(b)</w:t>
      </w:r>
      <w:r>
        <w:rPr>
          <w:sz w:val="24"/>
          <w:szCs w:val="24"/>
        </w:rPr>
        <w:tab/>
      </w:r>
      <w:r w:rsidRPr="00FC6D29">
        <w:rPr>
          <w:rFonts w:eastAsia="Times New Roman"/>
          <w:sz w:val="24"/>
          <w:szCs w:val="24"/>
          <w:lang w:val="en-GB"/>
        </w:rPr>
        <w:t>any other person except the other parties to, and a person having an interest in, the outcome of the action.</w:t>
      </w:r>
    </w:p>
    <w:p w14:paraId="31115408" w14:textId="77777777" w:rsidR="00FC6D29" w:rsidRDefault="00FC6D29" w:rsidP="00FC6D29">
      <w:pPr>
        <w:spacing w:after="0" w:line="240" w:lineRule="auto"/>
        <w:rPr>
          <w:sz w:val="24"/>
          <w:szCs w:val="24"/>
        </w:rPr>
      </w:pPr>
    </w:p>
    <w:p w14:paraId="00D17C4B" w14:textId="77777777" w:rsidR="00F936EB" w:rsidRDefault="00F936EB" w:rsidP="00F936EB">
      <w:pPr>
        <w:spacing w:after="0" w:line="240" w:lineRule="auto"/>
        <w:rPr>
          <w:sz w:val="24"/>
          <w:szCs w:val="24"/>
        </w:rPr>
      </w:pPr>
      <w:r>
        <w:rPr>
          <w:sz w:val="24"/>
          <w:szCs w:val="24"/>
        </w:rPr>
        <w:br w:type="page"/>
      </w:r>
    </w:p>
    <w:p w14:paraId="7F9A045C" w14:textId="77777777" w:rsidR="00F936EB" w:rsidRDefault="00F936EB" w:rsidP="00F936EB">
      <w:pPr>
        <w:pStyle w:val="Chapter"/>
      </w:pPr>
      <w:bookmarkStart w:id="251" w:name="_Toc394312691"/>
      <w:bookmarkStart w:id="252" w:name="_Toc60132476"/>
      <w:r>
        <w:lastRenderedPageBreak/>
        <w:t>Chapter 9—Juries</w:t>
      </w:r>
      <w:bookmarkEnd w:id="251"/>
      <w:bookmarkEnd w:id="252"/>
    </w:p>
    <w:p w14:paraId="52A649B0" w14:textId="77777777" w:rsidR="00F936EB" w:rsidRDefault="00F936EB" w:rsidP="00F936EB">
      <w:pPr>
        <w:pStyle w:val="IndentedPara"/>
        <w:rPr>
          <w:sz w:val="24"/>
          <w:szCs w:val="24"/>
        </w:rPr>
      </w:pPr>
      <w:r w:rsidRPr="00750571">
        <w:rPr>
          <w:sz w:val="24"/>
          <w:szCs w:val="24"/>
        </w:rPr>
        <w:t>[</w:t>
      </w:r>
      <w:r w:rsidRPr="00750571">
        <w:rPr>
          <w:i/>
          <w:sz w:val="24"/>
          <w:szCs w:val="24"/>
        </w:rPr>
        <w:t>no supplementary rules</w:t>
      </w:r>
      <w:r w:rsidRPr="00750571">
        <w:rPr>
          <w:sz w:val="24"/>
          <w:szCs w:val="24"/>
        </w:rPr>
        <w:t>]</w:t>
      </w:r>
      <w:bookmarkStart w:id="253" w:name="_Toc394312692"/>
    </w:p>
    <w:p w14:paraId="5065CB83" w14:textId="77777777" w:rsidR="00F936EB" w:rsidRDefault="00F936EB" w:rsidP="00F936EB">
      <w:pPr>
        <w:pStyle w:val="Hangindent"/>
        <w:rPr>
          <w:lang w:val="en-US"/>
        </w:rPr>
      </w:pPr>
    </w:p>
    <w:p w14:paraId="6C3D53FA" w14:textId="77777777" w:rsidR="00F936EB" w:rsidRDefault="00F936EB" w:rsidP="00F936EB">
      <w:pPr>
        <w:spacing w:after="0" w:line="240" w:lineRule="auto"/>
        <w:rPr>
          <w:szCs w:val="23"/>
          <w:lang w:val="en-US"/>
        </w:rPr>
      </w:pPr>
      <w:r>
        <w:rPr>
          <w:lang w:val="en-US"/>
        </w:rPr>
        <w:br w:type="page"/>
      </w:r>
    </w:p>
    <w:p w14:paraId="07CB9389" w14:textId="77777777" w:rsidR="00F936EB" w:rsidRDefault="00F936EB" w:rsidP="00F936EB">
      <w:pPr>
        <w:pStyle w:val="Chapter"/>
      </w:pPr>
      <w:bookmarkStart w:id="254" w:name="_Toc60132477"/>
      <w:r>
        <w:lastRenderedPageBreak/>
        <w:t>Chapter 10—Sentencing</w:t>
      </w:r>
      <w:bookmarkEnd w:id="253"/>
      <w:bookmarkEnd w:id="254"/>
    </w:p>
    <w:p w14:paraId="27E7B009" w14:textId="77777777" w:rsidR="00F936EB" w:rsidRPr="00F80B99" w:rsidRDefault="00F936EB" w:rsidP="00F936EB">
      <w:pPr>
        <w:pStyle w:val="clausehead"/>
      </w:pPr>
      <w:bookmarkStart w:id="255" w:name="_Toc394312693"/>
      <w:bookmarkStart w:id="256" w:name="_Toc60132478"/>
      <w:r>
        <w:t>49—Application to fix non-parole period</w:t>
      </w:r>
      <w:bookmarkEnd w:id="255"/>
      <w:bookmarkEnd w:id="256"/>
    </w:p>
    <w:p w14:paraId="7E5904C2" w14:textId="77777777" w:rsidR="00F936EB" w:rsidRDefault="00F936EB" w:rsidP="00F936EB">
      <w:pPr>
        <w:pStyle w:val="IndentedPara"/>
        <w:jc w:val="both"/>
        <w:rPr>
          <w:sz w:val="24"/>
          <w:szCs w:val="24"/>
        </w:rPr>
      </w:pPr>
      <w:r w:rsidRPr="00750571">
        <w:rPr>
          <w:sz w:val="24"/>
          <w:szCs w:val="24"/>
        </w:rPr>
        <w:t>An application to fix a non-parole period under rule 92(1) of the Rules is to be in form 28.</w:t>
      </w:r>
    </w:p>
    <w:p w14:paraId="38188F39" w14:textId="77777777" w:rsidR="0085084B" w:rsidRPr="0085084B" w:rsidRDefault="0085084B" w:rsidP="0085084B">
      <w:pPr>
        <w:pStyle w:val="clausehead"/>
      </w:pPr>
      <w:bookmarkStart w:id="257" w:name="_Toc60132479"/>
      <w:r w:rsidRPr="0085084B">
        <w:t>49A—</w:t>
      </w:r>
      <w:r w:rsidR="009D03C2">
        <w:t>***************************************************************</w:t>
      </w:r>
      <w:bookmarkEnd w:id="257"/>
    </w:p>
    <w:p w14:paraId="3E367D19" w14:textId="77777777" w:rsidR="0085084B" w:rsidRDefault="0085084B" w:rsidP="007261A3">
      <w:pPr>
        <w:pStyle w:val="clausehead"/>
        <w:spacing w:after="120"/>
      </w:pPr>
      <w:bookmarkStart w:id="258" w:name="_Toc60132480"/>
      <w:r w:rsidRPr="0085084B">
        <w:t>49B—Applications for enforcement of a breached bond</w:t>
      </w:r>
      <w:bookmarkEnd w:id="258"/>
    </w:p>
    <w:p w14:paraId="39F5CDA5" w14:textId="77777777" w:rsidR="0085084B" w:rsidRPr="0085084B" w:rsidRDefault="0085084B" w:rsidP="00E179CC">
      <w:pPr>
        <w:pStyle w:val="Hangindent"/>
        <w:numPr>
          <w:ilvl w:val="0"/>
          <w:numId w:val="7"/>
        </w:numPr>
        <w:ind w:left="1418" w:hanging="567"/>
        <w:rPr>
          <w:sz w:val="24"/>
          <w:szCs w:val="24"/>
        </w:rPr>
      </w:pPr>
      <w:r w:rsidRPr="0085084B">
        <w:rPr>
          <w:sz w:val="24"/>
          <w:szCs w:val="24"/>
        </w:rPr>
        <w:t xml:space="preserve">When a replacement Application for Enforcement of a Breached Bond is filed, the Director is to make an oral application, at the next hearing, for the original Application for Enforcement of a Breached Bond to be dismissed. </w:t>
      </w:r>
    </w:p>
    <w:p w14:paraId="25DEFD46" w14:textId="77777777" w:rsidR="0085084B" w:rsidRPr="0085084B" w:rsidRDefault="0085084B" w:rsidP="00E179CC">
      <w:pPr>
        <w:pStyle w:val="Hangindent"/>
        <w:numPr>
          <w:ilvl w:val="0"/>
          <w:numId w:val="7"/>
        </w:numPr>
        <w:ind w:left="1418" w:hanging="567"/>
        <w:rPr>
          <w:sz w:val="24"/>
          <w:szCs w:val="24"/>
        </w:rPr>
      </w:pPr>
      <w:r w:rsidRPr="0085084B">
        <w:rPr>
          <w:sz w:val="24"/>
          <w:szCs w:val="24"/>
        </w:rPr>
        <w:t>That oral application is to include reference to the District Court File Number for the Application for Enforcement of a Breached Bond that is to be replaced.</w:t>
      </w:r>
    </w:p>
    <w:p w14:paraId="76A72118" w14:textId="77777777" w:rsidR="0085084B" w:rsidRPr="0085084B" w:rsidRDefault="0085084B" w:rsidP="005D5D4F">
      <w:pPr>
        <w:spacing w:after="160" w:line="240" w:lineRule="auto"/>
        <w:ind w:left="1418"/>
        <w:rPr>
          <w:rFonts w:eastAsia="Times New Roman"/>
          <w:b/>
          <w:sz w:val="20"/>
          <w:szCs w:val="20"/>
          <w:lang w:val="en-GB"/>
        </w:rPr>
      </w:pPr>
      <w:r w:rsidRPr="0085084B">
        <w:rPr>
          <w:rFonts w:eastAsia="Times New Roman"/>
          <w:b/>
          <w:sz w:val="20"/>
          <w:szCs w:val="20"/>
          <w:lang w:val="en-GB"/>
        </w:rPr>
        <w:t>Example—</w:t>
      </w:r>
    </w:p>
    <w:p w14:paraId="04AD9E8B" w14:textId="77777777" w:rsidR="0085084B" w:rsidRPr="0085084B" w:rsidRDefault="0085084B" w:rsidP="0085084B">
      <w:pPr>
        <w:spacing w:after="160" w:line="240" w:lineRule="auto"/>
        <w:ind w:left="1620" w:firstLine="360"/>
        <w:rPr>
          <w:rFonts w:eastAsia="Times New Roman"/>
          <w:sz w:val="20"/>
          <w:szCs w:val="20"/>
          <w:lang w:val="en-GB"/>
        </w:rPr>
      </w:pPr>
      <w:r w:rsidRPr="0085084B">
        <w:rPr>
          <w:rFonts w:eastAsia="Times New Roman"/>
          <w:sz w:val="20"/>
          <w:szCs w:val="20"/>
          <w:lang w:val="en-GB"/>
        </w:rPr>
        <w:t>DCCRM-15-75.</w:t>
      </w:r>
    </w:p>
    <w:p w14:paraId="13A7E1B0" w14:textId="77777777" w:rsidR="0085084B" w:rsidRPr="0085084B" w:rsidRDefault="0085084B" w:rsidP="00E179CC">
      <w:pPr>
        <w:pStyle w:val="Hangindent"/>
        <w:numPr>
          <w:ilvl w:val="0"/>
          <w:numId w:val="7"/>
        </w:numPr>
        <w:ind w:left="1418" w:hanging="567"/>
        <w:rPr>
          <w:sz w:val="24"/>
          <w:szCs w:val="24"/>
        </w:rPr>
      </w:pPr>
      <w:r w:rsidRPr="0085084B">
        <w:rPr>
          <w:sz w:val="24"/>
          <w:szCs w:val="24"/>
        </w:rPr>
        <w:t>When a replacement Application for Enforcement of a Breached Bond is filed, it is to be served on the defendant’s solicitor, or the defendant if not represented, accompanied by a letter setting out the effect of that Application for Enforcement of a Breached Bond compared to the previous Application for Enforcement of a Breached Bond.</w:t>
      </w:r>
    </w:p>
    <w:p w14:paraId="2A89D057" w14:textId="77777777" w:rsidR="00F936EB" w:rsidRDefault="00F936EB" w:rsidP="00F936EB">
      <w:pPr>
        <w:pStyle w:val="clausehead"/>
      </w:pPr>
      <w:bookmarkStart w:id="259" w:name="_Toc394312694"/>
      <w:bookmarkStart w:id="260" w:name="_Toc60132481"/>
      <w:r>
        <w:t>50—Mental impairment detention</w:t>
      </w:r>
      <w:bookmarkEnd w:id="259"/>
      <w:bookmarkEnd w:id="260"/>
    </w:p>
    <w:p w14:paraId="040A6450" w14:textId="77777777" w:rsidR="00F936EB" w:rsidRDefault="00F936EB" w:rsidP="00FA5A02">
      <w:pPr>
        <w:pStyle w:val="IndentedPara"/>
        <w:jc w:val="both"/>
        <w:rPr>
          <w:sz w:val="24"/>
          <w:szCs w:val="24"/>
        </w:rPr>
      </w:pPr>
      <w:bookmarkStart w:id="261" w:name="_Toc394312695"/>
      <w:r w:rsidRPr="00750571">
        <w:rPr>
          <w:sz w:val="24"/>
          <w:szCs w:val="24"/>
        </w:rPr>
        <w:t xml:space="preserve">A warrant committing the defendant to detention under rule 93 of the Rules </w:t>
      </w:r>
      <w:r>
        <w:rPr>
          <w:sz w:val="24"/>
          <w:szCs w:val="24"/>
        </w:rPr>
        <w:t>is to</w:t>
      </w:r>
      <w:r w:rsidRPr="00750571">
        <w:rPr>
          <w:sz w:val="24"/>
          <w:szCs w:val="24"/>
        </w:rPr>
        <w:t xml:space="preserve"> be in form 30.</w:t>
      </w:r>
      <w:bookmarkEnd w:id="261"/>
    </w:p>
    <w:p w14:paraId="1DB70836" w14:textId="77777777" w:rsidR="00F936EB" w:rsidRDefault="00F936EB" w:rsidP="00F936EB">
      <w:pPr>
        <w:spacing w:after="0" w:line="240" w:lineRule="auto"/>
        <w:rPr>
          <w:sz w:val="24"/>
          <w:szCs w:val="24"/>
        </w:rPr>
      </w:pPr>
      <w:r>
        <w:rPr>
          <w:sz w:val="24"/>
          <w:szCs w:val="24"/>
        </w:rPr>
        <w:br w:type="page"/>
      </w:r>
    </w:p>
    <w:p w14:paraId="11C2CD79" w14:textId="77777777" w:rsidR="00F936EB" w:rsidRPr="000A3D4D" w:rsidRDefault="00F936EB" w:rsidP="00F936EB">
      <w:pPr>
        <w:pStyle w:val="Chapter"/>
      </w:pPr>
      <w:bookmarkStart w:id="262" w:name="_Toc394312696"/>
      <w:bookmarkStart w:id="263" w:name="_Toc60132482"/>
      <w:r>
        <w:lastRenderedPageBreak/>
        <w:t xml:space="preserve">Chapter 11—Statutory </w:t>
      </w:r>
      <w:bookmarkEnd w:id="262"/>
      <w:r>
        <w:t>applications</w:t>
      </w:r>
      <w:bookmarkEnd w:id="263"/>
    </w:p>
    <w:p w14:paraId="795143DD" w14:textId="77777777" w:rsidR="00F936EB" w:rsidRPr="00D32B94" w:rsidRDefault="00F936EB" w:rsidP="00D32B94">
      <w:pPr>
        <w:pStyle w:val="clausehead"/>
        <w:spacing w:after="120"/>
        <w:rPr>
          <w:lang w:val="en-US"/>
        </w:rPr>
      </w:pPr>
      <w:bookmarkStart w:id="264" w:name="_Toc394312697"/>
      <w:bookmarkStart w:id="265" w:name="_Toc60132483"/>
      <w:r w:rsidRPr="00D32B94">
        <w:rPr>
          <w:lang w:val="en-US"/>
        </w:rPr>
        <w:t>51—Mental impairment</w:t>
      </w:r>
      <w:bookmarkEnd w:id="264"/>
      <w:bookmarkEnd w:id="265"/>
      <w:r w:rsidRPr="00D32B94">
        <w:rPr>
          <w:lang w:val="en-US"/>
        </w:rPr>
        <w:t xml:space="preserve"> </w:t>
      </w:r>
    </w:p>
    <w:p w14:paraId="3DA57C3B" w14:textId="77777777" w:rsidR="00F936EB" w:rsidRPr="001653E2" w:rsidRDefault="00F936EB" w:rsidP="00F936EB">
      <w:pPr>
        <w:pStyle w:val="Hangindent"/>
        <w:rPr>
          <w:sz w:val="24"/>
          <w:szCs w:val="24"/>
        </w:rPr>
      </w:pPr>
      <w:r w:rsidRPr="001653E2">
        <w:rPr>
          <w:sz w:val="24"/>
          <w:szCs w:val="24"/>
        </w:rPr>
        <w:t>(1)</w:t>
      </w:r>
      <w:r w:rsidRPr="001653E2">
        <w:rPr>
          <w:sz w:val="24"/>
          <w:szCs w:val="24"/>
        </w:rPr>
        <w:tab/>
        <w:t>An originating application to revoke, vary or revise a supervision order under rule 94(1) of the Rules is to be in form 29.</w:t>
      </w:r>
    </w:p>
    <w:p w14:paraId="109BC285" w14:textId="77777777" w:rsidR="00F936EB" w:rsidRPr="001653E2" w:rsidRDefault="00F936EB" w:rsidP="00F936EB">
      <w:pPr>
        <w:pStyle w:val="Hangindent"/>
        <w:rPr>
          <w:sz w:val="24"/>
          <w:szCs w:val="24"/>
        </w:rPr>
      </w:pPr>
      <w:r w:rsidRPr="001653E2">
        <w:rPr>
          <w:sz w:val="24"/>
          <w:szCs w:val="24"/>
        </w:rPr>
        <w:t>(2)</w:t>
      </w:r>
      <w:r w:rsidRPr="001653E2">
        <w:rPr>
          <w:sz w:val="24"/>
          <w:szCs w:val="24"/>
        </w:rPr>
        <w:tab/>
        <w:t>A warrant committing the defendant to detention under rule 94(4) of the Rules is to be in form 30.</w:t>
      </w:r>
    </w:p>
    <w:p w14:paraId="42822F0D" w14:textId="77777777" w:rsidR="00F936EB" w:rsidRPr="001653E2" w:rsidRDefault="00F936EB" w:rsidP="00F936EB">
      <w:pPr>
        <w:pStyle w:val="Hangindent"/>
        <w:rPr>
          <w:sz w:val="24"/>
          <w:szCs w:val="24"/>
        </w:rPr>
      </w:pPr>
      <w:r w:rsidRPr="001653E2">
        <w:rPr>
          <w:sz w:val="24"/>
          <w:szCs w:val="24"/>
        </w:rPr>
        <w:t>(3)</w:t>
      </w:r>
      <w:r w:rsidRPr="001653E2">
        <w:rPr>
          <w:sz w:val="24"/>
          <w:szCs w:val="24"/>
        </w:rPr>
        <w:tab/>
        <w:t xml:space="preserve">A warrant committing the </w:t>
      </w:r>
      <w:hyperlink r:id="rId18" w:anchor="defendant" w:history="1">
        <w:r w:rsidRPr="001653E2">
          <w:rPr>
            <w:sz w:val="24"/>
            <w:szCs w:val="24"/>
          </w:rPr>
          <w:t>defendant</w:t>
        </w:r>
      </w:hyperlink>
      <w:r w:rsidRPr="001653E2">
        <w:rPr>
          <w:sz w:val="24"/>
          <w:szCs w:val="24"/>
        </w:rPr>
        <w:t xml:space="preserve"> to an appropriate form of custody under rule 94(5) of the Rules is to be in form 31 or form 32 as applicable.</w:t>
      </w:r>
    </w:p>
    <w:p w14:paraId="1753CB2F" w14:textId="77777777" w:rsidR="005E6BAE" w:rsidRDefault="00F936EB">
      <w:pPr>
        <w:pStyle w:val="clausehead"/>
        <w:rPr>
          <w:sz w:val="24"/>
          <w:szCs w:val="24"/>
        </w:rPr>
      </w:pPr>
      <w:bookmarkStart w:id="266" w:name="_Toc60132484"/>
      <w:bookmarkStart w:id="267" w:name="_Toc394312698"/>
      <w:r>
        <w:t>52—</w:t>
      </w:r>
      <w:r w:rsidR="00CB1E6F" w:rsidRPr="00CB1E6F">
        <w:rPr>
          <w:b w:val="0"/>
          <w:bCs w:val="0"/>
          <w:sz w:val="24"/>
          <w:szCs w:val="24"/>
        </w:rPr>
        <w:t>Note- there is no rule 52</w:t>
      </w:r>
      <w:bookmarkEnd w:id="266"/>
      <w:r w:rsidR="00FF105A">
        <w:t xml:space="preserve"> </w:t>
      </w:r>
      <w:bookmarkEnd w:id="267"/>
    </w:p>
    <w:p w14:paraId="04A68C2A" w14:textId="77777777" w:rsidR="005E6BAE" w:rsidRDefault="00F936EB">
      <w:pPr>
        <w:pStyle w:val="clausehead"/>
        <w:rPr>
          <w:sz w:val="24"/>
          <w:szCs w:val="24"/>
        </w:rPr>
      </w:pPr>
      <w:bookmarkStart w:id="268" w:name="_Toc60132485"/>
      <w:bookmarkStart w:id="269" w:name="_Toc394312699"/>
      <w:bookmarkStart w:id="270" w:name="_Toc397059058"/>
      <w:r>
        <w:t>53—</w:t>
      </w:r>
      <w:r w:rsidR="00FF105A" w:rsidRPr="00FF105A">
        <w:rPr>
          <w:b w:val="0"/>
          <w:sz w:val="24"/>
          <w:szCs w:val="24"/>
        </w:rPr>
        <w:t>Note- there is no rule 5</w:t>
      </w:r>
      <w:r w:rsidR="00FF105A">
        <w:rPr>
          <w:b w:val="0"/>
          <w:sz w:val="24"/>
          <w:szCs w:val="24"/>
        </w:rPr>
        <w:t>3</w:t>
      </w:r>
      <w:bookmarkEnd w:id="268"/>
      <w:r w:rsidR="00FF105A">
        <w:t xml:space="preserve"> </w:t>
      </w:r>
      <w:bookmarkEnd w:id="269"/>
      <w:bookmarkEnd w:id="270"/>
    </w:p>
    <w:p w14:paraId="045BE2AE" w14:textId="77777777" w:rsidR="005E6BAE" w:rsidRDefault="00F936EB">
      <w:pPr>
        <w:pStyle w:val="clausehead"/>
        <w:rPr>
          <w:sz w:val="24"/>
          <w:szCs w:val="24"/>
        </w:rPr>
      </w:pPr>
      <w:bookmarkStart w:id="271" w:name="_Toc60132486"/>
      <w:bookmarkStart w:id="272" w:name="_Toc394312700"/>
      <w:r>
        <w:rPr>
          <w:lang w:val="en-US"/>
        </w:rPr>
        <w:t>54—</w:t>
      </w:r>
      <w:r w:rsidR="00FF105A" w:rsidRPr="00FF105A">
        <w:rPr>
          <w:b w:val="0"/>
          <w:sz w:val="24"/>
          <w:szCs w:val="24"/>
        </w:rPr>
        <w:t>Note- there is no rule 5</w:t>
      </w:r>
      <w:r w:rsidR="00FF105A">
        <w:rPr>
          <w:b w:val="0"/>
          <w:sz w:val="24"/>
          <w:szCs w:val="24"/>
        </w:rPr>
        <w:t>4</w:t>
      </w:r>
      <w:bookmarkEnd w:id="271"/>
      <w:r w:rsidR="00FF105A">
        <w:t xml:space="preserve"> </w:t>
      </w:r>
      <w:bookmarkEnd w:id="272"/>
    </w:p>
    <w:p w14:paraId="5413E242" w14:textId="77777777" w:rsidR="00F936EB" w:rsidRPr="00743086" w:rsidRDefault="00F936EB" w:rsidP="00F936EB">
      <w:pPr>
        <w:pStyle w:val="clausehead"/>
      </w:pPr>
      <w:bookmarkStart w:id="273" w:name="_Toc394312701"/>
      <w:bookmarkStart w:id="274" w:name="_Toc60132487"/>
      <w:r>
        <w:t>55—</w:t>
      </w:r>
      <w:bookmarkEnd w:id="273"/>
      <w:r>
        <w:t>Confiscation order</w:t>
      </w:r>
      <w:bookmarkEnd w:id="274"/>
    </w:p>
    <w:p w14:paraId="19DBEEE5" w14:textId="77777777" w:rsidR="00F936EB" w:rsidRPr="00750571" w:rsidRDefault="00F936EB" w:rsidP="00F936EB">
      <w:pPr>
        <w:pStyle w:val="IndentedPara"/>
        <w:jc w:val="both"/>
        <w:rPr>
          <w:sz w:val="24"/>
          <w:szCs w:val="24"/>
        </w:rPr>
      </w:pPr>
      <w:r w:rsidRPr="00750571">
        <w:rPr>
          <w:sz w:val="24"/>
          <w:szCs w:val="24"/>
        </w:rPr>
        <w:t>An application under the Confiscation Acts—</w:t>
      </w:r>
    </w:p>
    <w:p w14:paraId="256896C4" w14:textId="77777777" w:rsidR="00F936EB" w:rsidRPr="00750571" w:rsidRDefault="00F936EB" w:rsidP="00B86283">
      <w:pPr>
        <w:pStyle w:val="IndentedPara"/>
        <w:numPr>
          <w:ilvl w:val="0"/>
          <w:numId w:val="8"/>
        </w:numPr>
        <w:ind w:left="1418" w:hanging="567"/>
        <w:jc w:val="both"/>
        <w:rPr>
          <w:sz w:val="24"/>
          <w:szCs w:val="24"/>
        </w:rPr>
      </w:pPr>
      <w:r w:rsidRPr="00750571">
        <w:rPr>
          <w:sz w:val="24"/>
          <w:szCs w:val="24"/>
        </w:rPr>
        <w:t>if made in existing criminal proceedings under rule 98(2)(a) of the Rules—is to be in form 13; or</w:t>
      </w:r>
    </w:p>
    <w:p w14:paraId="386CB34C" w14:textId="77777777" w:rsidR="00F936EB" w:rsidRDefault="00F936EB" w:rsidP="00B86283">
      <w:pPr>
        <w:pStyle w:val="IndentedPara"/>
        <w:numPr>
          <w:ilvl w:val="0"/>
          <w:numId w:val="8"/>
        </w:numPr>
        <w:ind w:left="1418" w:hanging="567"/>
        <w:jc w:val="both"/>
        <w:rPr>
          <w:sz w:val="24"/>
          <w:szCs w:val="24"/>
        </w:rPr>
      </w:pPr>
      <w:r w:rsidRPr="00750571">
        <w:rPr>
          <w:sz w:val="24"/>
          <w:szCs w:val="24"/>
        </w:rPr>
        <w:t xml:space="preserve">if an originating application under rule 98(2)(b) of the Rules—is to be in form 29. </w:t>
      </w:r>
    </w:p>
    <w:p w14:paraId="3D273922" w14:textId="77777777" w:rsidR="00F936EB" w:rsidRDefault="00F936EB" w:rsidP="00F936EB">
      <w:pPr>
        <w:spacing w:after="0" w:line="240" w:lineRule="auto"/>
        <w:rPr>
          <w:szCs w:val="23"/>
          <w:lang w:val="en-US"/>
        </w:rPr>
      </w:pPr>
      <w:r>
        <w:rPr>
          <w:lang w:val="en-US"/>
        </w:rPr>
        <w:br w:type="page"/>
      </w:r>
    </w:p>
    <w:p w14:paraId="24C7B4FB" w14:textId="77777777" w:rsidR="00F936EB" w:rsidRPr="00FF105A" w:rsidRDefault="00CB1E6F" w:rsidP="00F936EB">
      <w:pPr>
        <w:pStyle w:val="Chapter"/>
        <w:rPr>
          <w:b w:val="0"/>
          <w:sz w:val="28"/>
          <w:szCs w:val="28"/>
        </w:rPr>
      </w:pPr>
      <w:bookmarkStart w:id="275" w:name="_Toc60132488"/>
      <w:bookmarkStart w:id="276" w:name="_Toc394312702"/>
      <w:bookmarkStart w:id="277" w:name="_Toc397059061"/>
      <w:r w:rsidRPr="00CB1E6F">
        <w:lastRenderedPageBreak/>
        <w:t>Chapter 12—</w:t>
      </w:r>
      <w:r w:rsidRPr="00A97FED">
        <w:t>Note- there is no Chapter 12</w:t>
      </w:r>
      <w:bookmarkEnd w:id="275"/>
      <w:r w:rsidRPr="00CB1E6F">
        <w:t xml:space="preserve"> </w:t>
      </w:r>
      <w:bookmarkEnd w:id="276"/>
      <w:bookmarkEnd w:id="277"/>
    </w:p>
    <w:p w14:paraId="1C76BCAE" w14:textId="77777777" w:rsidR="00F936EB" w:rsidRPr="00B86283" w:rsidRDefault="00A73FD8" w:rsidP="00AB5F7D">
      <w:pPr>
        <w:pStyle w:val="clausehead"/>
        <w:rPr>
          <w:sz w:val="24"/>
          <w:szCs w:val="24"/>
        </w:rPr>
      </w:pPr>
      <w:bookmarkStart w:id="278" w:name="_Toc60132489"/>
      <w:r w:rsidRPr="00B86283">
        <w:rPr>
          <w:sz w:val="24"/>
          <w:szCs w:val="24"/>
        </w:rPr>
        <w:t>56—</w:t>
      </w:r>
      <w:r w:rsidR="003B6B73" w:rsidRPr="00B86283">
        <w:rPr>
          <w:b w:val="0"/>
          <w:sz w:val="24"/>
          <w:szCs w:val="24"/>
        </w:rPr>
        <w:t>Note- there is no rule 56</w:t>
      </w:r>
      <w:bookmarkEnd w:id="278"/>
    </w:p>
    <w:p w14:paraId="12311B3B" w14:textId="77777777" w:rsidR="00F936EB" w:rsidRDefault="00F936EB" w:rsidP="00F936EB">
      <w:pPr>
        <w:spacing w:after="0" w:line="240" w:lineRule="auto"/>
        <w:rPr>
          <w:sz w:val="24"/>
          <w:szCs w:val="24"/>
        </w:rPr>
      </w:pPr>
      <w:r>
        <w:rPr>
          <w:sz w:val="24"/>
          <w:szCs w:val="24"/>
        </w:rPr>
        <w:br w:type="page"/>
      </w:r>
    </w:p>
    <w:p w14:paraId="00EE6CDF" w14:textId="77777777" w:rsidR="00F936EB" w:rsidRPr="002570DA" w:rsidRDefault="00CB1E6F" w:rsidP="00F936EB">
      <w:pPr>
        <w:pStyle w:val="Chapter"/>
      </w:pPr>
      <w:bookmarkStart w:id="279" w:name="_Toc60132490"/>
      <w:bookmarkStart w:id="280" w:name="_Toc391026305"/>
      <w:bookmarkStart w:id="281" w:name="_Toc397059063"/>
      <w:bookmarkStart w:id="282" w:name="_Toc394312704"/>
      <w:r w:rsidRPr="00CB1E6F">
        <w:lastRenderedPageBreak/>
        <w:t>Chapter 13—</w:t>
      </w:r>
      <w:r w:rsidRPr="00A97FED">
        <w:t>Note- there is no Chapter13</w:t>
      </w:r>
      <w:bookmarkEnd w:id="279"/>
      <w:r w:rsidRPr="00CB1E6F">
        <w:t xml:space="preserve"> </w:t>
      </w:r>
      <w:bookmarkEnd w:id="280"/>
      <w:bookmarkEnd w:id="281"/>
      <w:bookmarkEnd w:id="282"/>
    </w:p>
    <w:p w14:paraId="55D35099" w14:textId="77777777" w:rsidR="00A73FD8" w:rsidRPr="00B86283" w:rsidRDefault="00CB1E6F" w:rsidP="008F6FCB">
      <w:pPr>
        <w:pStyle w:val="clausehead"/>
        <w:rPr>
          <w:sz w:val="24"/>
          <w:szCs w:val="24"/>
        </w:rPr>
      </w:pPr>
      <w:bookmarkStart w:id="283" w:name="_Toc60132491"/>
      <w:bookmarkStart w:id="284" w:name="_Toc394312705"/>
      <w:bookmarkStart w:id="285" w:name="_Toc397059064"/>
      <w:r w:rsidRPr="00B86283">
        <w:rPr>
          <w:sz w:val="24"/>
          <w:szCs w:val="24"/>
        </w:rPr>
        <w:t xml:space="preserve">Note- </w:t>
      </w:r>
      <w:r w:rsidRPr="00B86283">
        <w:rPr>
          <w:b w:val="0"/>
          <w:sz w:val="24"/>
          <w:szCs w:val="24"/>
        </w:rPr>
        <w:t>there are no rules 57-76</w:t>
      </w:r>
      <w:bookmarkEnd w:id="283"/>
      <w:r w:rsidRPr="00B86283">
        <w:rPr>
          <w:sz w:val="24"/>
          <w:szCs w:val="24"/>
        </w:rPr>
        <w:t xml:space="preserve"> </w:t>
      </w:r>
      <w:bookmarkStart w:id="286" w:name="_Toc394312731"/>
      <w:bookmarkEnd w:id="284"/>
      <w:bookmarkEnd w:id="285"/>
    </w:p>
    <w:p w14:paraId="26C7D028" w14:textId="77777777" w:rsidR="00A73FD8" w:rsidRDefault="00A73FD8">
      <w:pPr>
        <w:spacing w:after="0" w:line="240" w:lineRule="auto"/>
        <w:rPr>
          <w:rFonts w:eastAsia="Times New Roman"/>
          <w:color w:val="000000"/>
          <w:sz w:val="32"/>
          <w:szCs w:val="32"/>
          <w:lang w:val="en-US"/>
        </w:rPr>
      </w:pPr>
      <w:r>
        <w:rPr>
          <w:b/>
          <w:bCs/>
          <w:sz w:val="32"/>
          <w:szCs w:val="32"/>
        </w:rPr>
        <w:br w:type="page"/>
      </w:r>
    </w:p>
    <w:p w14:paraId="5A8953EA" w14:textId="77777777" w:rsidR="00F936EB" w:rsidRDefault="00F936EB" w:rsidP="00F936EB">
      <w:pPr>
        <w:pStyle w:val="Chapter"/>
      </w:pPr>
      <w:bookmarkStart w:id="287" w:name="_Toc60132492"/>
      <w:r>
        <w:lastRenderedPageBreak/>
        <w:t>Chapter 14—Contempt of Court</w:t>
      </w:r>
      <w:bookmarkEnd w:id="286"/>
      <w:bookmarkEnd w:id="287"/>
    </w:p>
    <w:p w14:paraId="6165197D" w14:textId="77777777" w:rsidR="00F936EB" w:rsidRPr="00DF6391" w:rsidRDefault="00CB1E6F" w:rsidP="00F936EB">
      <w:pPr>
        <w:pStyle w:val="Part"/>
      </w:pPr>
      <w:bookmarkStart w:id="288" w:name="Elkera_Print_TOC456"/>
      <w:bookmarkStart w:id="289" w:name="_Toc396143901"/>
      <w:bookmarkStart w:id="290" w:name="_Toc60132493"/>
      <w:r w:rsidRPr="00CB1E6F">
        <w:t>Part 1—Contempt committed in face of Court</w:t>
      </w:r>
      <w:bookmarkEnd w:id="288"/>
      <w:bookmarkEnd w:id="289"/>
      <w:bookmarkEnd w:id="290"/>
    </w:p>
    <w:p w14:paraId="7E8FB64F" w14:textId="77777777" w:rsidR="00F936EB" w:rsidRPr="00DF6391" w:rsidRDefault="00CB1E6F" w:rsidP="00A73FD8">
      <w:pPr>
        <w:pStyle w:val="Hangindent"/>
        <w:spacing w:before="120"/>
        <w:ind w:left="851" w:firstLine="0"/>
        <w:jc w:val="both"/>
      </w:pPr>
      <w:r w:rsidRPr="00CB1E6F">
        <w:rPr>
          <w:sz w:val="24"/>
          <w:szCs w:val="24"/>
        </w:rPr>
        <w:t>[</w:t>
      </w:r>
      <w:r w:rsidRPr="00CB1E6F">
        <w:rPr>
          <w:i/>
          <w:sz w:val="24"/>
          <w:szCs w:val="24"/>
        </w:rPr>
        <w:t>no supplementary rules</w:t>
      </w:r>
      <w:r w:rsidRPr="00CB1E6F">
        <w:rPr>
          <w:sz w:val="24"/>
          <w:szCs w:val="24"/>
        </w:rPr>
        <w:t xml:space="preserve">] </w:t>
      </w:r>
    </w:p>
    <w:p w14:paraId="6A51F619" w14:textId="77777777" w:rsidR="00F936EB" w:rsidRPr="00DF6391" w:rsidRDefault="00CB1E6F" w:rsidP="00F936EB">
      <w:pPr>
        <w:pStyle w:val="Part"/>
      </w:pPr>
      <w:bookmarkStart w:id="291" w:name="Elkera_Print_TOC458"/>
      <w:bookmarkStart w:id="292" w:name="_Toc396143903"/>
      <w:bookmarkStart w:id="293" w:name="_Toc60132494"/>
      <w:r w:rsidRPr="00CB1E6F">
        <w:t>Part 2—Court initiated proceedings for contempt—other cases</w:t>
      </w:r>
      <w:bookmarkEnd w:id="291"/>
      <w:bookmarkEnd w:id="292"/>
      <w:bookmarkEnd w:id="293"/>
    </w:p>
    <w:p w14:paraId="655B1198" w14:textId="77777777" w:rsidR="00F936EB" w:rsidRPr="00DF6391" w:rsidRDefault="00CB1E6F" w:rsidP="00F936EB">
      <w:pPr>
        <w:pStyle w:val="clausehead"/>
      </w:pPr>
      <w:bookmarkStart w:id="294" w:name="_Toc60132495"/>
      <w:r w:rsidRPr="00CB1E6F">
        <w:t>77—Summons to appear</w:t>
      </w:r>
      <w:bookmarkEnd w:id="294"/>
    </w:p>
    <w:p w14:paraId="71BEDF5D" w14:textId="77777777" w:rsidR="00F936EB" w:rsidRPr="00750571" w:rsidRDefault="00CB1E6F" w:rsidP="00F936EB">
      <w:pPr>
        <w:pStyle w:val="Hangindent"/>
        <w:spacing w:before="120"/>
        <w:ind w:left="851" w:firstLine="0"/>
        <w:jc w:val="both"/>
        <w:rPr>
          <w:sz w:val="24"/>
          <w:szCs w:val="24"/>
        </w:rPr>
      </w:pPr>
      <w:r w:rsidRPr="00CB1E6F">
        <w:rPr>
          <w:sz w:val="24"/>
          <w:szCs w:val="24"/>
        </w:rPr>
        <w:t xml:space="preserve">A summons requiring </w:t>
      </w:r>
      <w:r w:rsidRPr="00CB1E6F">
        <w:rPr>
          <w:sz w:val="24"/>
          <w:szCs w:val="24"/>
          <w:lang w:val="en-US"/>
        </w:rPr>
        <w:t xml:space="preserve">the accused to appear before the Court at the nominated time and place under rule 130(7)(a) of the Rules is to be in form 55 of Schedule 3 to the </w:t>
      </w:r>
      <w:r w:rsidRPr="00CB1E6F">
        <w:rPr>
          <w:i/>
          <w:iCs/>
          <w:sz w:val="24"/>
          <w:szCs w:val="24"/>
          <w:lang w:val="en-US" w:bidi="en-US"/>
        </w:rPr>
        <w:t>District Court Civil Supplementary Rules 2014</w:t>
      </w:r>
      <w:r w:rsidRPr="00CB1E6F">
        <w:rPr>
          <w:sz w:val="24"/>
          <w:szCs w:val="24"/>
          <w:lang w:val="en-US"/>
        </w:rPr>
        <w:t>.</w:t>
      </w:r>
    </w:p>
    <w:p w14:paraId="428BE93F" w14:textId="77777777" w:rsidR="00F936EB" w:rsidRDefault="00F936EB" w:rsidP="00F936EB">
      <w:pPr>
        <w:pStyle w:val="Part"/>
      </w:pPr>
      <w:bookmarkStart w:id="295" w:name="Elkera_Print_TOC460"/>
      <w:bookmarkStart w:id="296" w:name="_Toc396143905"/>
      <w:bookmarkStart w:id="297" w:name="_Toc60132496"/>
      <w:r w:rsidRPr="001F3E6F">
        <w:t>Part 3—Contempt proceedings by party to proceeding</w:t>
      </w:r>
      <w:bookmarkEnd w:id="295"/>
      <w:bookmarkEnd w:id="296"/>
      <w:bookmarkEnd w:id="297"/>
    </w:p>
    <w:p w14:paraId="0C7FF679"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241F389B" w14:textId="77777777" w:rsidR="00F936EB" w:rsidRPr="001F3E6F" w:rsidRDefault="00F936EB" w:rsidP="00F936EB">
      <w:pPr>
        <w:pStyle w:val="Part"/>
      </w:pPr>
      <w:bookmarkStart w:id="298" w:name="Elkera_Print_TOC462"/>
      <w:bookmarkStart w:id="299" w:name="_Toc396143907"/>
      <w:bookmarkStart w:id="300" w:name="_Toc60132497"/>
      <w:r w:rsidRPr="001F3E6F">
        <w:t>Part 4—Hearing of charge of contempt</w:t>
      </w:r>
      <w:bookmarkEnd w:id="298"/>
      <w:bookmarkEnd w:id="299"/>
      <w:bookmarkEnd w:id="300"/>
    </w:p>
    <w:p w14:paraId="5CCB5212" w14:textId="77777777" w:rsidR="00F936EB" w:rsidRPr="00750571" w:rsidRDefault="00F936EB" w:rsidP="00F936EB">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7F186C7A" w14:textId="77777777" w:rsidR="002570DA" w:rsidRDefault="002570DA" w:rsidP="002570DA">
      <w:pPr>
        <w:tabs>
          <w:tab w:val="left" w:pos="426"/>
        </w:tabs>
        <w:rPr>
          <w:sz w:val="28"/>
          <w:szCs w:val="28"/>
        </w:rPr>
      </w:pPr>
    </w:p>
    <w:p w14:paraId="670692C2" w14:textId="77777777" w:rsidR="007A66AE" w:rsidRDefault="007A66AE">
      <w:pPr>
        <w:spacing w:after="0" w:line="240" w:lineRule="auto"/>
        <w:rPr>
          <w:szCs w:val="24"/>
        </w:rPr>
      </w:pPr>
      <w:r>
        <w:rPr>
          <w:szCs w:val="24"/>
        </w:rPr>
        <w:br w:type="page"/>
      </w:r>
    </w:p>
    <w:p w14:paraId="023901DC" w14:textId="0851EB6F" w:rsidR="007A66AE" w:rsidRDefault="007A66AE" w:rsidP="00122FEE">
      <w:pPr>
        <w:pStyle w:val="Chapter"/>
      </w:pPr>
      <w:bookmarkStart w:id="301" w:name="_Toc425934924"/>
      <w:bookmarkStart w:id="302" w:name="_Toc60132498"/>
      <w:r w:rsidRPr="00122FEE">
        <w:lastRenderedPageBreak/>
        <w:t>History of Amendment</w:t>
      </w:r>
      <w:bookmarkEnd w:id="301"/>
      <w:bookmarkEnd w:id="302"/>
    </w:p>
    <w:p w14:paraId="49C1C06A" w14:textId="24C2AAA5" w:rsidR="007261A3" w:rsidRDefault="007261A3" w:rsidP="007261A3">
      <w:pPr>
        <w:spacing w:after="0" w:line="240" w:lineRule="auto"/>
      </w:pPr>
    </w:p>
    <w:p w14:paraId="5B19521C" w14:textId="23F5B4D5" w:rsidR="007261A3" w:rsidRPr="007261A3" w:rsidRDefault="007261A3" w:rsidP="007261A3">
      <w:pPr>
        <w:spacing w:after="0" w:line="240" w:lineRule="auto"/>
        <w:rPr>
          <w:sz w:val="24"/>
          <w:szCs w:val="24"/>
        </w:rPr>
      </w:pPr>
      <w:r w:rsidRPr="007261A3">
        <w:rPr>
          <w:sz w:val="24"/>
          <w:szCs w:val="24"/>
        </w:rPr>
        <w:t xml:space="preserve">New entries appear in </w:t>
      </w:r>
      <w:r w:rsidRPr="007261A3">
        <w:rPr>
          <w:b/>
          <w:bCs/>
          <w:sz w:val="24"/>
          <w:szCs w:val="24"/>
        </w:rPr>
        <w:t>bold</w:t>
      </w:r>
    </w:p>
    <w:p w14:paraId="6BFBF7E2" w14:textId="77777777" w:rsidR="007261A3" w:rsidRPr="007261A3" w:rsidRDefault="007261A3" w:rsidP="007261A3">
      <w:pPr>
        <w:spacing w:after="0" w:line="240" w:lineRule="auto"/>
        <w:rPr>
          <w:lang w:val="en-US"/>
        </w:rPr>
      </w:pPr>
    </w:p>
    <w:tbl>
      <w:tblPr>
        <w:tblW w:w="9819" w:type="dxa"/>
        <w:tblLayout w:type="fixed"/>
        <w:tblCellMar>
          <w:left w:w="0" w:type="dxa"/>
          <w:right w:w="0" w:type="dxa"/>
        </w:tblCellMar>
        <w:tblLook w:val="0000" w:firstRow="0" w:lastRow="0" w:firstColumn="0" w:lastColumn="0" w:noHBand="0" w:noVBand="0"/>
      </w:tblPr>
      <w:tblGrid>
        <w:gridCol w:w="3015"/>
        <w:gridCol w:w="3402"/>
        <w:gridCol w:w="3402"/>
      </w:tblGrid>
      <w:tr w:rsidR="007A66AE" w:rsidRPr="007261A3" w14:paraId="66C404F2" w14:textId="77777777" w:rsidTr="0032418C">
        <w:trPr>
          <w:cantSplit/>
          <w:tblHeader/>
        </w:trPr>
        <w:tc>
          <w:tcPr>
            <w:tcW w:w="3015"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14:paraId="6008FF2E" w14:textId="77777777" w:rsidR="007A66AE" w:rsidRPr="007261A3" w:rsidRDefault="007A66AE" w:rsidP="007261A3">
            <w:pPr>
              <w:spacing w:before="60" w:after="60" w:line="240" w:lineRule="auto"/>
              <w:ind w:firstLineChars="100" w:firstLine="200"/>
              <w:rPr>
                <w:rFonts w:eastAsia="Arial Unicode MS"/>
                <w:bCs/>
                <w:sz w:val="20"/>
                <w:szCs w:val="20"/>
                <w:lang w:val="en-US" w:bidi="en-US"/>
              </w:rPr>
            </w:pPr>
            <w:r w:rsidRPr="007261A3">
              <w:rPr>
                <w:rFonts w:eastAsiaTheme="minorHAnsi"/>
                <w:bCs/>
                <w:sz w:val="20"/>
                <w:szCs w:val="20"/>
                <w:lang w:val="en-US" w:bidi="en-US"/>
              </w:rPr>
              <w:t>Rules</w:t>
            </w:r>
          </w:p>
        </w:tc>
        <w:tc>
          <w:tcPr>
            <w:tcW w:w="3402"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14:paraId="543272A3" w14:textId="77777777" w:rsidR="007A66AE" w:rsidRPr="007261A3" w:rsidRDefault="007A66AE" w:rsidP="007261A3">
            <w:pPr>
              <w:spacing w:before="60" w:after="60" w:line="240" w:lineRule="auto"/>
              <w:jc w:val="center"/>
              <w:rPr>
                <w:rFonts w:eastAsiaTheme="minorHAnsi"/>
                <w:bCs/>
                <w:sz w:val="20"/>
                <w:szCs w:val="20"/>
                <w:lang w:val="en-US" w:bidi="en-US"/>
              </w:rPr>
            </w:pPr>
            <w:r w:rsidRPr="007261A3">
              <w:rPr>
                <w:rFonts w:eastAsiaTheme="minorHAnsi"/>
                <w:bCs/>
                <w:sz w:val="20"/>
                <w:szCs w:val="20"/>
                <w:lang w:val="en-US" w:bidi="en-US"/>
              </w:rPr>
              <w:t>Amendments</w:t>
            </w:r>
          </w:p>
        </w:tc>
        <w:tc>
          <w:tcPr>
            <w:tcW w:w="3402"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2E64A96A" w14:textId="77777777" w:rsidR="007A66AE" w:rsidRPr="007261A3" w:rsidRDefault="007A66AE" w:rsidP="007261A3">
            <w:pPr>
              <w:spacing w:before="60" w:after="60" w:line="240" w:lineRule="auto"/>
              <w:jc w:val="center"/>
              <w:rPr>
                <w:rFonts w:eastAsia="Arial Unicode MS"/>
                <w:bCs/>
                <w:sz w:val="20"/>
                <w:szCs w:val="20"/>
                <w:lang w:val="en-US" w:bidi="en-US"/>
              </w:rPr>
            </w:pPr>
            <w:r w:rsidRPr="007261A3">
              <w:rPr>
                <w:rFonts w:eastAsiaTheme="minorHAnsi"/>
                <w:bCs/>
                <w:sz w:val="20"/>
                <w:szCs w:val="20"/>
                <w:lang w:val="en-US" w:bidi="en-US"/>
              </w:rPr>
              <w:t>Date of Operation</w:t>
            </w:r>
          </w:p>
        </w:tc>
      </w:tr>
      <w:tr w:rsidR="007A66AE" w:rsidRPr="007261A3" w14:paraId="2E99AC31" w14:textId="77777777" w:rsidTr="0032418C">
        <w:trPr>
          <w:cantSplit/>
          <w:tblHeader/>
        </w:trPr>
        <w:tc>
          <w:tcPr>
            <w:tcW w:w="9819"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14:paraId="08FEB606" w14:textId="77777777" w:rsidR="007A66AE" w:rsidRPr="007261A3" w:rsidRDefault="007A66AE" w:rsidP="007261A3">
            <w:pPr>
              <w:spacing w:before="60" w:after="60" w:line="240" w:lineRule="auto"/>
              <w:jc w:val="center"/>
              <w:rPr>
                <w:rFonts w:eastAsiaTheme="minorHAnsi"/>
                <w:sz w:val="20"/>
                <w:szCs w:val="20"/>
                <w:lang w:val="en-US" w:bidi="en-US"/>
              </w:rPr>
            </w:pPr>
            <w:r w:rsidRPr="007261A3">
              <w:rPr>
                <w:rFonts w:eastAsiaTheme="minorHAnsi"/>
                <w:sz w:val="20"/>
                <w:szCs w:val="20"/>
                <w:lang w:val="en-US" w:bidi="en-US"/>
              </w:rPr>
              <w:t xml:space="preserve">am = amended; del = deleted; ins = inserted; </w:t>
            </w:r>
            <w:r w:rsidRPr="007261A3">
              <w:rPr>
                <w:rFonts w:eastAsiaTheme="minorHAnsi"/>
                <w:sz w:val="20"/>
                <w:szCs w:val="20"/>
                <w:lang w:val="en-US" w:bidi="en-US"/>
              </w:rPr>
              <w:br/>
              <w:t>ren = renumbered; sub = substituted</w:t>
            </w:r>
          </w:p>
        </w:tc>
      </w:tr>
      <w:tr w:rsidR="00317DFF" w:rsidRPr="007261A3" w14:paraId="17971F67" w14:textId="77777777" w:rsidTr="0036293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86FAD7D" w14:textId="77777777" w:rsidR="00317DFF" w:rsidRPr="007261A3" w:rsidRDefault="00276BE8"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F7E82" w14:textId="77777777" w:rsidR="00317DFF"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8522DC" w14:textId="77777777" w:rsidR="00317DFF"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5502EB" w:rsidRPr="007261A3" w14:paraId="118FAE04" w14:textId="77777777" w:rsidTr="0036293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B9C5EDA" w14:textId="77777777" w:rsidR="005502EB" w:rsidRPr="007261A3" w:rsidRDefault="005502EB"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EFA005" w14:textId="77777777" w:rsidR="005502EB" w:rsidRPr="007261A3" w:rsidRDefault="005502EB"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DABCF3" w14:textId="77777777" w:rsidR="005502EB" w:rsidRPr="007261A3" w:rsidRDefault="005502EB"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907CB0" w:rsidRPr="007261A3" w14:paraId="778D55D2" w14:textId="77777777" w:rsidTr="0036293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0138D1E" w14:textId="77777777" w:rsidR="00907CB0" w:rsidRPr="007261A3" w:rsidRDefault="00907CB0" w:rsidP="007261A3">
            <w:pPr>
              <w:spacing w:after="0" w:line="240" w:lineRule="auto"/>
              <w:ind w:firstLineChars="100" w:firstLine="200"/>
              <w:rPr>
                <w:rFonts w:eastAsiaTheme="minorHAnsi"/>
                <w:sz w:val="20"/>
                <w:szCs w:val="20"/>
                <w:lang w:val="en-US" w:bidi="en-US"/>
              </w:rPr>
            </w:pPr>
            <w:r w:rsidRPr="007261A3">
              <w:rPr>
                <w:rFonts w:eastAsiaTheme="minorHAnsi"/>
                <w:sz w:val="20"/>
                <w:szCs w:val="20"/>
                <w:lang w:val="en-US" w:bidi="en-US"/>
              </w:rPr>
              <w:t>7(2A)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19A48C" w14:textId="77777777" w:rsidR="00907CB0" w:rsidRPr="007261A3" w:rsidRDefault="00907CB0"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ins am 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CA50E0" w14:textId="77777777" w:rsidR="00907CB0" w:rsidRPr="007261A3" w:rsidRDefault="00907CB0"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1 May 2019</w:t>
            </w:r>
          </w:p>
        </w:tc>
      </w:tr>
      <w:tr w:rsidR="00362935" w:rsidRPr="007261A3" w14:paraId="41820AE9" w14:textId="77777777" w:rsidTr="0036293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4225F31" w14:textId="77777777" w:rsidR="00362935" w:rsidRPr="007261A3" w:rsidRDefault="00276BE8" w:rsidP="007261A3">
            <w:pPr>
              <w:spacing w:after="0" w:line="240" w:lineRule="auto"/>
              <w:ind w:firstLineChars="100" w:firstLine="200"/>
              <w:rPr>
                <w:rFonts w:eastAsiaTheme="minorHAnsi"/>
                <w:sz w:val="20"/>
                <w:szCs w:val="20"/>
                <w:lang w:val="en-US" w:bidi="en-US"/>
              </w:rPr>
            </w:pPr>
            <w:r w:rsidRPr="007261A3">
              <w:rPr>
                <w:rFonts w:eastAsiaTheme="minorHAnsi"/>
                <w:sz w:val="20"/>
                <w:szCs w:val="20"/>
                <w:lang w:val="en-US" w:bidi="en-US"/>
              </w:rPr>
              <w:t>7(3)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AA7EB1" w14:textId="77777777" w:rsidR="00362935" w:rsidRPr="007261A3" w:rsidRDefault="00276BE8"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ins am 3</w:t>
            </w:r>
          </w:p>
          <w:p w14:paraId="68CB265D" w14:textId="77777777" w:rsidR="005502EB" w:rsidRPr="007261A3" w:rsidRDefault="005502EB"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 xml:space="preserve">am </w:t>
            </w:r>
            <w:proofErr w:type="spellStart"/>
            <w:r w:rsidRPr="007261A3">
              <w:rPr>
                <w:rFonts w:eastAsiaTheme="minorHAnsi"/>
                <w:sz w:val="20"/>
                <w:szCs w:val="20"/>
                <w:lang w:val="en-US" w:bidi="en-US"/>
              </w:rPr>
              <w:t>am</w:t>
            </w:r>
            <w:proofErr w:type="spellEnd"/>
            <w:r w:rsidRPr="007261A3">
              <w:rPr>
                <w:rFonts w:eastAsiaTheme="minorHAnsi"/>
                <w:sz w:val="20"/>
                <w:szCs w:val="20"/>
                <w:lang w:val="en-US" w:bidi="en-US"/>
              </w:rPr>
              <w:t xml:space="preserve">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8BA45C" w14:textId="77777777" w:rsidR="00362935" w:rsidRPr="007261A3" w:rsidRDefault="00276BE8"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1 December 2016</w:t>
            </w:r>
          </w:p>
          <w:p w14:paraId="0C2D50D1" w14:textId="77777777" w:rsidR="005502EB" w:rsidRPr="007261A3" w:rsidRDefault="005502EB"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276BE8" w:rsidRPr="007261A3" w14:paraId="5A8E7121" w14:textId="77777777" w:rsidTr="00276B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4E97432" w14:textId="77777777" w:rsidR="00276BE8" w:rsidRPr="007261A3" w:rsidRDefault="00276BE8"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7(4)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1B7D0C" w14:textId="77777777" w:rsidR="00276BE8"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994239" w14:textId="77777777" w:rsidR="00276BE8"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276BE8" w:rsidRPr="007261A3" w14:paraId="79EA7681" w14:textId="77777777" w:rsidTr="00276B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596D276" w14:textId="77777777" w:rsidR="00276BE8" w:rsidRPr="007261A3" w:rsidRDefault="00276BE8"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7A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14B9AF" w14:textId="77777777" w:rsidR="00276BE8"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2426A0" w14:textId="77777777" w:rsidR="00276BE8"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362935" w:rsidRPr="007261A3" w14:paraId="62E6DE85" w14:textId="77777777" w:rsidTr="0036293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2D11D6A" w14:textId="77777777" w:rsidR="00362935"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8(1)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622A60" w14:textId="77777777" w:rsidR="00362935"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sub am 3</w:t>
            </w:r>
          </w:p>
          <w:p w14:paraId="20006790"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sub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91CC1D" w14:textId="77777777" w:rsidR="00362935"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p w14:paraId="56505557"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877AC6" w:rsidRPr="007261A3" w14:paraId="31A9522E" w14:textId="77777777" w:rsidTr="00877AC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DF36E14"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8(1a)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D2E656"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DB2864"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877AC6" w:rsidRPr="007261A3" w14:paraId="0ED6E1C4" w14:textId="77777777" w:rsidTr="00877AC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7C27DFC"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8(2)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680D22"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am </w:t>
            </w:r>
            <w:proofErr w:type="spellStart"/>
            <w:r w:rsidRPr="007261A3">
              <w:rPr>
                <w:rFonts w:eastAsiaTheme="minorHAnsi"/>
                <w:sz w:val="20"/>
                <w:szCs w:val="20"/>
                <w:lang w:val="en-US" w:bidi="en-US"/>
              </w:rPr>
              <w:t>am</w:t>
            </w:r>
            <w:proofErr w:type="spellEnd"/>
            <w:r w:rsidRPr="007261A3">
              <w:rPr>
                <w:rFonts w:eastAsiaTheme="minorHAnsi"/>
                <w:sz w:val="20"/>
                <w:szCs w:val="20"/>
                <w:lang w:val="en-US" w:bidi="en-US"/>
              </w:rPr>
              <w:t xml:space="preserve">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CC8A00"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877AC6" w:rsidRPr="007261A3" w14:paraId="48E6A5D0" w14:textId="77777777" w:rsidTr="00877AC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49FE5C8"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8(3a)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3F11BB"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98183D"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424470" w:rsidRPr="007261A3" w14:paraId="72B8ACE1"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3740B9B" w14:textId="77777777" w:rsidR="00424470" w:rsidRPr="007261A3" w:rsidRDefault="00424470" w:rsidP="007261A3">
            <w:pPr>
              <w:spacing w:after="0" w:line="240" w:lineRule="auto"/>
              <w:ind w:firstLineChars="100" w:firstLine="200"/>
              <w:rPr>
                <w:rFonts w:eastAsiaTheme="minorHAnsi"/>
                <w:sz w:val="20"/>
                <w:szCs w:val="20"/>
                <w:lang w:val="en-US" w:bidi="en-US"/>
              </w:rPr>
            </w:pPr>
            <w:r w:rsidRPr="007261A3">
              <w:rPr>
                <w:rFonts w:eastAsiaTheme="minorHAnsi"/>
                <w:sz w:val="20"/>
                <w:szCs w:val="20"/>
                <w:lang w:val="en-US" w:bidi="en-US"/>
              </w:rPr>
              <w:t>8(4)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EE1A7E" w14:textId="77777777" w:rsidR="00424470" w:rsidRPr="007261A3" w:rsidRDefault="00424470"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ins am 3</w:t>
            </w:r>
          </w:p>
          <w:p w14:paraId="3A7B1DCE" w14:textId="77777777" w:rsidR="00877AC6" w:rsidRPr="007261A3" w:rsidRDefault="00877AC6"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sub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332CFF" w14:textId="77777777" w:rsidR="00424470" w:rsidRPr="007261A3" w:rsidRDefault="00424470"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1 December 2016</w:t>
            </w:r>
          </w:p>
          <w:p w14:paraId="6651FF36" w14:textId="77777777" w:rsidR="00877AC6" w:rsidRPr="007261A3" w:rsidRDefault="00877AC6" w:rsidP="007261A3">
            <w:pPr>
              <w:spacing w:after="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424470" w:rsidRPr="007261A3" w14:paraId="3EB2D783"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1CD3404"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515618"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sub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60ABFC"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424470" w:rsidRPr="007261A3" w14:paraId="1F5F5C0C"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E0284D1"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10(2)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AE4A06"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am </w:t>
            </w:r>
            <w:proofErr w:type="spellStart"/>
            <w:r w:rsidRPr="007261A3">
              <w:rPr>
                <w:rFonts w:eastAsiaTheme="minorHAnsi"/>
                <w:sz w:val="20"/>
                <w:szCs w:val="20"/>
                <w:lang w:val="en-US" w:bidi="en-US"/>
              </w:rPr>
              <w:t>am</w:t>
            </w:r>
            <w:proofErr w:type="spellEnd"/>
            <w:r w:rsidRPr="007261A3">
              <w:rPr>
                <w:rFonts w:eastAsiaTheme="minorHAnsi"/>
                <w:sz w:val="20"/>
                <w:szCs w:val="20"/>
                <w:lang w:val="en-US" w:bidi="en-US"/>
              </w:rPr>
              <w:t xml:space="preserve">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5AAB03"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424470" w:rsidRPr="007261A3" w14:paraId="6935D3C6"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85AF68D"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B14FEC"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sub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53DC43"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877AC6" w:rsidRPr="007261A3" w14:paraId="56EE27F7" w14:textId="77777777" w:rsidTr="00877AC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10A402D"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12(5)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4CD1BF"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17463B"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D95616" w:rsidRPr="007261A3" w14:paraId="03F297A7"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980031A" w14:textId="77777777" w:rsidR="00D95616" w:rsidRPr="007261A3" w:rsidRDefault="00D9561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03C428" w14:textId="77777777" w:rsidR="00D95616" w:rsidRPr="007261A3" w:rsidRDefault="00D9561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am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88DF7E" w14:textId="77777777" w:rsidR="00D95616" w:rsidRPr="007261A3" w:rsidRDefault="00D9561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2017</w:t>
            </w:r>
          </w:p>
        </w:tc>
      </w:tr>
      <w:tr w:rsidR="00D95616" w:rsidRPr="007261A3" w14:paraId="679D9FFE" w14:textId="77777777" w:rsidTr="00D9561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CB0A1F6" w14:textId="77777777" w:rsidR="00D95616" w:rsidRPr="007261A3" w:rsidRDefault="00D9561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20(1)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4207FF" w14:textId="77777777" w:rsidR="00D95616" w:rsidRPr="007261A3" w:rsidRDefault="00D9561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am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39B33A" w14:textId="77777777" w:rsidR="00D95616" w:rsidRPr="007261A3" w:rsidRDefault="00D9561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2017</w:t>
            </w:r>
          </w:p>
        </w:tc>
      </w:tr>
      <w:tr w:rsidR="00D95616" w:rsidRPr="007261A3" w14:paraId="056B564C" w14:textId="77777777" w:rsidTr="00D9561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50FD101" w14:textId="77777777" w:rsidR="00D95616" w:rsidRPr="007261A3" w:rsidRDefault="00D9561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25(2)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D1E542" w14:textId="77777777" w:rsidR="00D95616" w:rsidRPr="007261A3" w:rsidRDefault="00D9561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am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550346" w14:textId="77777777" w:rsidR="00D95616" w:rsidRPr="007261A3" w:rsidRDefault="00D9561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2017</w:t>
            </w:r>
          </w:p>
        </w:tc>
      </w:tr>
      <w:tr w:rsidR="00424470" w:rsidRPr="007261A3" w14:paraId="6079F8F4"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1DA4820"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0DB50A"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E70A10"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424470" w:rsidRPr="007261A3" w14:paraId="2B655CCC"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2508D1F"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42A7FE"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338AEC"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877AC6" w:rsidRPr="007261A3" w14:paraId="3600C1A7" w14:textId="77777777" w:rsidTr="00877AC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AA5C883"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34A(4)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0A3196"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1D4C31"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424470" w:rsidRPr="007261A3" w14:paraId="4BB2928C"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611F2F1"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A1E823"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533F5D"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424470" w:rsidRPr="007261A3" w14:paraId="3202D8EA"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CACF4CE"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38448D"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AA942A"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424470" w:rsidRPr="007261A3" w14:paraId="1067F368" w14:textId="77777777" w:rsidTr="0042447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24851B0" w14:textId="77777777" w:rsidR="00424470" w:rsidRPr="007261A3" w:rsidRDefault="00424470"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72AE1F"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del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8EA54B" w14:textId="77777777" w:rsidR="00424470" w:rsidRPr="007261A3" w:rsidRDefault="00424470"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1C4EF3" w:rsidRPr="007261A3" w14:paraId="58DE70AF" w14:textId="77777777" w:rsidTr="001C4EF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EF1A95B" w14:textId="77777777" w:rsidR="001C4EF3" w:rsidRPr="007261A3" w:rsidRDefault="001C4EF3"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FAFA54"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621C25"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1C4EF3" w:rsidRPr="007261A3" w14:paraId="042EECF8" w14:textId="77777777" w:rsidTr="001C4EF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895E115" w14:textId="77777777" w:rsidR="001C4EF3" w:rsidRPr="007261A3" w:rsidRDefault="001C4EF3"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E8D7F7"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B209CD"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1C4EF3" w:rsidRPr="007261A3" w14:paraId="70C668A6" w14:textId="77777777" w:rsidTr="001C4EF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745A45D" w14:textId="77777777" w:rsidR="001C4EF3" w:rsidRPr="007261A3" w:rsidRDefault="001C4EF3"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BF3516"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647AC2"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1C4EF3" w:rsidRPr="007261A3" w14:paraId="0F218334" w14:textId="77777777" w:rsidTr="001C4EF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6A99208" w14:textId="77777777" w:rsidR="001C4EF3" w:rsidRPr="007261A3" w:rsidRDefault="001C4EF3"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53FBC6"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EE9D9D"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1C4EF3" w:rsidRPr="007261A3" w14:paraId="5891394B" w14:textId="77777777" w:rsidTr="001C4EF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3B31C56" w14:textId="77777777" w:rsidR="001C4EF3" w:rsidRPr="007261A3" w:rsidRDefault="001C4EF3"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52DCCB"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sub am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ED3182"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950F37" w:rsidRPr="007261A3" w14:paraId="5BD626C4" w14:textId="77777777" w:rsidTr="00950F3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9E1F974" w14:textId="734D21BE" w:rsidR="00950F37" w:rsidRPr="007261A3" w:rsidRDefault="00950F37" w:rsidP="007261A3">
            <w:pPr>
              <w:spacing w:before="20" w:after="20" w:line="240" w:lineRule="auto"/>
              <w:ind w:firstLineChars="100" w:firstLine="201"/>
              <w:rPr>
                <w:rFonts w:eastAsiaTheme="minorHAnsi"/>
                <w:b/>
                <w:bCs/>
                <w:sz w:val="20"/>
                <w:szCs w:val="20"/>
                <w:lang w:val="en-US" w:bidi="en-US"/>
              </w:rPr>
            </w:pPr>
            <w:r w:rsidRPr="007261A3">
              <w:rPr>
                <w:rFonts w:eastAsiaTheme="minorHAnsi"/>
                <w:b/>
                <w:bCs/>
                <w:sz w:val="20"/>
                <w:szCs w:val="20"/>
                <w:lang w:val="en-US" w:bidi="en-US"/>
              </w:rPr>
              <w:t>Chapter 6 Part 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2BD1DF" w14:textId="389E05AE" w:rsidR="00950F37" w:rsidRPr="007261A3" w:rsidRDefault="00950F37" w:rsidP="007261A3">
            <w:pPr>
              <w:spacing w:before="20" w:after="20" w:line="240" w:lineRule="auto"/>
              <w:jc w:val="center"/>
              <w:rPr>
                <w:rFonts w:eastAsiaTheme="minorHAnsi"/>
                <w:b/>
                <w:bCs/>
                <w:sz w:val="20"/>
                <w:szCs w:val="20"/>
                <w:lang w:val="en-US" w:bidi="en-US"/>
              </w:rPr>
            </w:pPr>
            <w:r w:rsidRPr="007261A3">
              <w:rPr>
                <w:rFonts w:eastAsiaTheme="minorHAnsi"/>
                <w:b/>
                <w:bCs/>
                <w:sz w:val="20"/>
                <w:szCs w:val="20"/>
                <w:lang w:val="en-US" w:bidi="en-US"/>
              </w:rPr>
              <w:t>ins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1F463B" w14:textId="24059F6F" w:rsidR="00950F37" w:rsidRPr="007261A3" w:rsidRDefault="00950F37" w:rsidP="007261A3">
            <w:pPr>
              <w:spacing w:before="20" w:after="20" w:line="240" w:lineRule="auto"/>
              <w:jc w:val="center"/>
              <w:rPr>
                <w:rFonts w:eastAsiaTheme="minorHAnsi"/>
                <w:b/>
                <w:bCs/>
                <w:sz w:val="20"/>
                <w:szCs w:val="20"/>
                <w:lang w:val="en-US" w:bidi="en-US"/>
              </w:rPr>
            </w:pPr>
            <w:r w:rsidRPr="007261A3">
              <w:rPr>
                <w:rFonts w:eastAsiaTheme="minorHAnsi"/>
                <w:b/>
                <w:bCs/>
                <w:sz w:val="20"/>
                <w:szCs w:val="20"/>
                <w:lang w:val="en-US" w:bidi="en-US"/>
              </w:rPr>
              <w:t>1 January 2021</w:t>
            </w:r>
          </w:p>
        </w:tc>
      </w:tr>
      <w:tr w:rsidR="0032418C" w:rsidRPr="007261A3" w14:paraId="3CEAC1F7" w14:textId="77777777" w:rsidTr="00362935">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64FCFC1" w14:textId="77777777" w:rsidR="0032418C" w:rsidRPr="007261A3" w:rsidRDefault="00A9090C" w:rsidP="007261A3">
            <w:pPr>
              <w:spacing w:before="20" w:after="20" w:line="240" w:lineRule="auto"/>
              <w:ind w:firstLineChars="100" w:firstLine="200"/>
              <w:rPr>
                <w:rFonts w:eastAsiaTheme="minorHAnsi"/>
                <w:sz w:val="20"/>
                <w:szCs w:val="20"/>
                <w:lang w:val="en-US" w:bidi="en-US"/>
              </w:rPr>
            </w:pPr>
            <w:bookmarkStart w:id="303" w:name="_Hlk59188838"/>
            <w:r w:rsidRPr="007261A3">
              <w:rPr>
                <w:rFonts w:eastAsiaTheme="minorHAnsi"/>
                <w:sz w:val="20"/>
                <w:szCs w:val="20"/>
                <w:lang w:val="en-US" w:bidi="en-US"/>
              </w:rPr>
              <w:t xml:space="preserve">Chapter 6 </w:t>
            </w:r>
            <w:r w:rsidR="0032418C" w:rsidRPr="007261A3">
              <w:rPr>
                <w:rFonts w:eastAsiaTheme="minorHAnsi"/>
                <w:sz w:val="20"/>
                <w:szCs w:val="20"/>
                <w:lang w:val="en-US" w:bidi="en-US"/>
              </w:rPr>
              <w:t>Part 6A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E21354" w14:textId="77777777" w:rsidR="0032418C"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ins am </w:t>
            </w:r>
            <w:r w:rsidR="0032418C" w:rsidRPr="007261A3">
              <w:rPr>
                <w:rFonts w:eastAsiaTheme="minorHAnsi"/>
                <w:sz w:val="20"/>
                <w:szCs w:val="20"/>
                <w:lang w:val="en-US" w:bidi="en-US"/>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0C4CCA" w14:textId="77777777" w:rsidR="0032418C" w:rsidRPr="007261A3" w:rsidRDefault="0032418C"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27 June 2016</w:t>
            </w:r>
          </w:p>
        </w:tc>
      </w:tr>
      <w:bookmarkEnd w:id="303"/>
      <w:tr w:rsidR="0032418C" w:rsidRPr="007261A3" w14:paraId="7D76CE70" w14:textId="77777777" w:rsidTr="0032418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51FFFBE" w14:textId="77777777" w:rsidR="0032418C" w:rsidRPr="007261A3" w:rsidRDefault="0032418C"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37A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A2DBCB" w14:textId="77777777" w:rsidR="0032418C"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ins am </w:t>
            </w:r>
            <w:r w:rsidR="0032418C" w:rsidRPr="007261A3">
              <w:rPr>
                <w:rFonts w:eastAsiaTheme="minorHAnsi"/>
                <w:sz w:val="20"/>
                <w:szCs w:val="20"/>
                <w:lang w:val="en-US" w:bidi="en-US"/>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D69DF7" w14:textId="77777777" w:rsidR="0032418C" w:rsidRPr="007261A3" w:rsidRDefault="0032418C"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27 June 2016</w:t>
            </w:r>
          </w:p>
        </w:tc>
      </w:tr>
      <w:tr w:rsidR="0032418C" w:rsidRPr="007261A3" w14:paraId="5A1C6513" w14:textId="77777777" w:rsidTr="0032418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1DAAA5A" w14:textId="77777777" w:rsidR="0032418C" w:rsidRPr="007261A3" w:rsidRDefault="0032418C"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37B</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C62EB6" w14:textId="77777777" w:rsidR="0032418C" w:rsidRPr="007261A3" w:rsidRDefault="00276BE8"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ins am </w:t>
            </w:r>
            <w:r w:rsidR="0032418C" w:rsidRPr="007261A3">
              <w:rPr>
                <w:rFonts w:eastAsiaTheme="minorHAnsi"/>
                <w:sz w:val="20"/>
                <w:szCs w:val="20"/>
                <w:lang w:val="en-US" w:bidi="en-US"/>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FAEB29" w14:textId="77777777" w:rsidR="0032418C" w:rsidRPr="007261A3" w:rsidRDefault="0032418C"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27 June 2016</w:t>
            </w:r>
          </w:p>
        </w:tc>
      </w:tr>
      <w:tr w:rsidR="001C4EF3" w:rsidRPr="007261A3" w14:paraId="5A45EB58" w14:textId="77777777" w:rsidTr="0032418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0E5E7A4C" w14:textId="77777777" w:rsidR="001C4EF3" w:rsidRPr="007261A3" w:rsidRDefault="00D8464B"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37AA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867AC4" w14:textId="77777777" w:rsidR="001C4EF3" w:rsidRPr="007261A3" w:rsidRDefault="00D8464B"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20A425" w14:textId="77777777" w:rsidR="001C4EF3" w:rsidRPr="007261A3" w:rsidRDefault="00D8464B"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r w:rsidR="00877AC6" w:rsidRPr="007261A3" w14:paraId="36E44FD9" w14:textId="77777777" w:rsidTr="00877AC6">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476268E2"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40</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5E7EBE"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am </w:t>
            </w:r>
            <w:proofErr w:type="spellStart"/>
            <w:r w:rsidRPr="007261A3">
              <w:rPr>
                <w:rFonts w:eastAsiaTheme="minorHAnsi"/>
                <w:sz w:val="20"/>
                <w:szCs w:val="20"/>
                <w:lang w:val="en-US" w:bidi="en-US"/>
              </w:rPr>
              <w:t>am</w:t>
            </w:r>
            <w:proofErr w:type="spellEnd"/>
            <w:r w:rsidRPr="007261A3">
              <w:rPr>
                <w:rFonts w:eastAsiaTheme="minorHAnsi"/>
                <w:sz w:val="20"/>
                <w:szCs w:val="20"/>
                <w:lang w:val="en-US" w:bidi="en-US"/>
              </w:rPr>
              <w:t xml:space="preserve">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31144B"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877AC6" w:rsidRPr="007261A3" w14:paraId="6CED342D" w14:textId="77777777" w:rsidTr="00877AC6">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FD8000F"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42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87438C"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del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734B0"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7A66AE" w:rsidRPr="007261A3" w14:paraId="6BFF44C9" w14:textId="77777777" w:rsidTr="0032418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2F7A672" w14:textId="77777777" w:rsidR="007A66AE" w:rsidRPr="007261A3" w:rsidRDefault="008026C7"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43(1)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B9463E" w14:textId="77777777" w:rsidR="007A66AE" w:rsidRPr="007261A3" w:rsidRDefault="008026C7"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sub</w:t>
            </w:r>
            <w:r w:rsidR="00276BE8" w:rsidRPr="007261A3">
              <w:rPr>
                <w:rFonts w:eastAsiaTheme="minorHAnsi"/>
                <w:sz w:val="20"/>
                <w:szCs w:val="20"/>
                <w:lang w:val="en-US" w:bidi="en-US"/>
              </w:rPr>
              <w:t xml:space="preserve"> am </w:t>
            </w:r>
            <w:r w:rsidR="007A66AE" w:rsidRPr="007261A3">
              <w:rPr>
                <w:rFonts w:eastAsiaTheme="minorHAnsi"/>
                <w:sz w:val="20"/>
                <w:szCs w:val="20"/>
                <w:lang w:val="en-US" w:bidi="en-US"/>
              </w:rPr>
              <w:t>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C8A8C4" w14:textId="77777777" w:rsidR="007A66AE" w:rsidRPr="007261A3" w:rsidRDefault="007A66AE"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 xml:space="preserve">1 </w:t>
            </w:r>
            <w:r w:rsidR="008026C7" w:rsidRPr="007261A3">
              <w:rPr>
                <w:rFonts w:eastAsiaTheme="minorHAnsi"/>
                <w:sz w:val="20"/>
                <w:szCs w:val="20"/>
                <w:lang w:val="en-US" w:bidi="en-US"/>
              </w:rPr>
              <w:t>May</w:t>
            </w:r>
            <w:r w:rsidRPr="007261A3">
              <w:rPr>
                <w:rFonts w:eastAsiaTheme="minorHAnsi"/>
                <w:sz w:val="20"/>
                <w:szCs w:val="20"/>
                <w:lang w:val="en-US" w:bidi="en-US"/>
              </w:rPr>
              <w:t xml:space="preserve"> 201</w:t>
            </w:r>
            <w:r w:rsidR="008026C7" w:rsidRPr="007261A3">
              <w:rPr>
                <w:rFonts w:eastAsiaTheme="minorHAnsi"/>
                <w:sz w:val="20"/>
                <w:szCs w:val="20"/>
                <w:lang w:val="en-US" w:bidi="en-US"/>
              </w:rPr>
              <w:t>6</w:t>
            </w:r>
          </w:p>
        </w:tc>
      </w:tr>
      <w:tr w:rsidR="00877AC6" w:rsidRPr="007261A3" w14:paraId="792DE620" w14:textId="77777777" w:rsidTr="00877AC6">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AFECE34"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43(3)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396C0B"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2C2F5"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877AC6" w:rsidRPr="007261A3" w14:paraId="6C6EB61A" w14:textId="77777777" w:rsidTr="00877AC6">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0E25182" w14:textId="77777777" w:rsidR="00877AC6" w:rsidRPr="007261A3" w:rsidRDefault="00877AC6"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lastRenderedPageBreak/>
              <w:t>43(4)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5DDA0B"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82AE89" w14:textId="77777777" w:rsidR="00877AC6" w:rsidRPr="007261A3" w:rsidRDefault="00877AC6"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June 2018</w:t>
            </w:r>
          </w:p>
        </w:tc>
      </w:tr>
      <w:tr w:rsidR="00A9090C" w:rsidRPr="007261A3" w14:paraId="05B62A69" w14:textId="77777777" w:rsidTr="00A9090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E4CF8DB" w14:textId="77777777" w:rsidR="00A9090C" w:rsidRPr="007261A3" w:rsidRDefault="00A9090C"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Chapter 8 Part 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F3DBAD" w14:textId="77777777" w:rsidR="00A9090C" w:rsidRPr="007261A3" w:rsidRDefault="00A9090C"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3F47E7" w14:textId="77777777" w:rsidR="00A9090C" w:rsidRPr="007261A3" w:rsidRDefault="00A9090C"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2017</w:t>
            </w:r>
          </w:p>
        </w:tc>
      </w:tr>
      <w:tr w:rsidR="001C4EF3" w:rsidRPr="007261A3" w14:paraId="1A218B82" w14:textId="77777777" w:rsidTr="001C4EF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885A82E" w14:textId="77777777" w:rsidR="00332702" w:rsidRPr="007261A3" w:rsidRDefault="001C4EF3" w:rsidP="007261A3">
            <w:pPr>
              <w:spacing w:after="0" w:line="240" w:lineRule="auto"/>
              <w:ind w:firstLineChars="100" w:firstLine="200"/>
              <w:rPr>
                <w:rFonts w:eastAsiaTheme="minorHAnsi"/>
                <w:bCs/>
                <w:sz w:val="20"/>
                <w:szCs w:val="20"/>
                <w:lang w:val="en-US" w:bidi="en-US"/>
              </w:rPr>
            </w:pPr>
            <w:r w:rsidRPr="007261A3">
              <w:rPr>
                <w:rFonts w:eastAsiaTheme="minorHAnsi"/>
                <w:bCs/>
                <w:sz w:val="20"/>
                <w:szCs w:val="20"/>
                <w:lang w:val="en-US" w:bidi="en-US"/>
              </w:rPr>
              <w:t>49A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91C2BA" w14:textId="77777777" w:rsidR="001C4EF3" w:rsidRPr="007261A3" w:rsidRDefault="001C4EF3" w:rsidP="007261A3">
            <w:pPr>
              <w:spacing w:after="0" w:line="240" w:lineRule="auto"/>
              <w:jc w:val="center"/>
              <w:rPr>
                <w:rFonts w:eastAsiaTheme="minorHAnsi"/>
                <w:bCs/>
                <w:sz w:val="20"/>
                <w:szCs w:val="20"/>
                <w:lang w:val="en-US" w:bidi="en-US"/>
              </w:rPr>
            </w:pPr>
            <w:r w:rsidRPr="007261A3">
              <w:rPr>
                <w:rFonts w:eastAsiaTheme="minorHAnsi"/>
                <w:bCs/>
                <w:sz w:val="20"/>
                <w:szCs w:val="20"/>
                <w:lang w:val="en-US" w:bidi="en-US"/>
              </w:rPr>
              <w:t>ins am 3</w:t>
            </w:r>
          </w:p>
          <w:p w14:paraId="44E8477D" w14:textId="77777777" w:rsidR="00332702" w:rsidRPr="007261A3" w:rsidRDefault="00332702" w:rsidP="007261A3">
            <w:pPr>
              <w:spacing w:after="0" w:line="240" w:lineRule="auto"/>
              <w:jc w:val="center"/>
              <w:rPr>
                <w:rFonts w:eastAsiaTheme="minorHAnsi"/>
                <w:bCs/>
                <w:sz w:val="20"/>
                <w:szCs w:val="20"/>
                <w:lang w:val="en-US" w:bidi="en-US"/>
              </w:rPr>
            </w:pPr>
            <w:r w:rsidRPr="007261A3">
              <w:rPr>
                <w:rFonts w:eastAsiaTheme="minorHAnsi"/>
                <w:bCs/>
                <w:sz w:val="20"/>
                <w:szCs w:val="20"/>
                <w:lang w:val="en-US" w:bidi="en-US"/>
              </w:rPr>
              <w:t xml:space="preserve">am </w:t>
            </w:r>
            <w:proofErr w:type="spellStart"/>
            <w:r w:rsidRPr="007261A3">
              <w:rPr>
                <w:rFonts w:eastAsiaTheme="minorHAnsi"/>
                <w:bCs/>
                <w:sz w:val="20"/>
                <w:szCs w:val="20"/>
                <w:lang w:val="en-US" w:bidi="en-US"/>
              </w:rPr>
              <w:t>am</w:t>
            </w:r>
            <w:proofErr w:type="spellEnd"/>
            <w:r w:rsidRPr="007261A3">
              <w:rPr>
                <w:rFonts w:eastAsiaTheme="minorHAnsi"/>
                <w:bCs/>
                <w:sz w:val="20"/>
                <w:szCs w:val="20"/>
                <w:lang w:val="en-US" w:bidi="en-US"/>
              </w:rPr>
              <w:t xml:space="preserve"> 5</w:t>
            </w:r>
          </w:p>
          <w:p w14:paraId="1E0B723C" w14:textId="77777777" w:rsidR="009D03C2" w:rsidRPr="007261A3" w:rsidRDefault="009D03C2" w:rsidP="007261A3">
            <w:pPr>
              <w:spacing w:after="0" w:line="240" w:lineRule="auto"/>
              <w:jc w:val="center"/>
              <w:rPr>
                <w:rFonts w:eastAsiaTheme="minorHAnsi"/>
                <w:bCs/>
                <w:sz w:val="20"/>
                <w:szCs w:val="20"/>
                <w:lang w:val="en-US" w:bidi="en-US"/>
              </w:rPr>
            </w:pPr>
            <w:r w:rsidRPr="007261A3">
              <w:rPr>
                <w:rFonts w:eastAsiaTheme="minorHAnsi"/>
                <w:bCs/>
                <w:sz w:val="20"/>
                <w:szCs w:val="20"/>
                <w:lang w:val="en-US" w:bidi="en-US"/>
              </w:rPr>
              <w:t>del am 7</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2A29E2" w14:textId="77777777" w:rsidR="001C4EF3" w:rsidRPr="007261A3" w:rsidRDefault="001C4EF3" w:rsidP="007261A3">
            <w:pPr>
              <w:spacing w:after="0" w:line="240" w:lineRule="auto"/>
              <w:jc w:val="center"/>
              <w:rPr>
                <w:rFonts w:eastAsiaTheme="minorHAnsi"/>
                <w:bCs/>
                <w:sz w:val="20"/>
                <w:szCs w:val="20"/>
                <w:lang w:val="en-US" w:bidi="en-US"/>
              </w:rPr>
            </w:pPr>
            <w:r w:rsidRPr="007261A3">
              <w:rPr>
                <w:rFonts w:eastAsiaTheme="minorHAnsi"/>
                <w:bCs/>
                <w:sz w:val="20"/>
                <w:szCs w:val="20"/>
                <w:lang w:val="en-US" w:bidi="en-US"/>
              </w:rPr>
              <w:t>1 December 2016</w:t>
            </w:r>
          </w:p>
          <w:p w14:paraId="4495A4E2" w14:textId="77777777" w:rsidR="00332702" w:rsidRPr="007261A3" w:rsidRDefault="00332702" w:rsidP="007261A3">
            <w:pPr>
              <w:spacing w:after="0" w:line="240" w:lineRule="auto"/>
              <w:jc w:val="center"/>
              <w:rPr>
                <w:rFonts w:eastAsiaTheme="minorHAnsi"/>
                <w:bCs/>
                <w:sz w:val="20"/>
                <w:szCs w:val="20"/>
                <w:lang w:val="en-US" w:bidi="en-US"/>
              </w:rPr>
            </w:pPr>
            <w:r w:rsidRPr="007261A3">
              <w:rPr>
                <w:rFonts w:eastAsiaTheme="minorHAnsi"/>
                <w:bCs/>
                <w:sz w:val="20"/>
                <w:szCs w:val="20"/>
                <w:lang w:val="en-US" w:bidi="en-US"/>
              </w:rPr>
              <w:t>1 June 2018</w:t>
            </w:r>
          </w:p>
          <w:p w14:paraId="3BE34D84" w14:textId="77777777" w:rsidR="009D03C2" w:rsidRPr="007261A3" w:rsidRDefault="009D03C2" w:rsidP="007261A3">
            <w:pPr>
              <w:spacing w:after="0" w:line="240" w:lineRule="auto"/>
              <w:jc w:val="center"/>
              <w:rPr>
                <w:rFonts w:eastAsiaTheme="minorHAnsi"/>
                <w:bCs/>
                <w:sz w:val="20"/>
                <w:szCs w:val="20"/>
                <w:lang w:val="en-US" w:bidi="en-US"/>
              </w:rPr>
            </w:pPr>
            <w:r w:rsidRPr="007261A3">
              <w:rPr>
                <w:rFonts w:eastAsiaTheme="minorHAnsi"/>
                <w:bCs/>
                <w:sz w:val="20"/>
                <w:szCs w:val="20"/>
                <w:lang w:val="en-US" w:bidi="en-US"/>
              </w:rPr>
              <w:t>18 May 2020</w:t>
            </w:r>
          </w:p>
        </w:tc>
      </w:tr>
      <w:tr w:rsidR="001C4EF3" w:rsidRPr="007261A3" w14:paraId="79BFBC26" w14:textId="77777777" w:rsidTr="001C4EF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3F1C9CE" w14:textId="77777777" w:rsidR="001C4EF3" w:rsidRPr="007261A3" w:rsidRDefault="001C4EF3" w:rsidP="007261A3">
            <w:pPr>
              <w:spacing w:before="20" w:after="20" w:line="240" w:lineRule="auto"/>
              <w:ind w:firstLineChars="100" w:firstLine="200"/>
              <w:rPr>
                <w:rFonts w:eastAsiaTheme="minorHAnsi"/>
                <w:sz w:val="20"/>
                <w:szCs w:val="20"/>
                <w:lang w:val="en-US" w:bidi="en-US"/>
              </w:rPr>
            </w:pPr>
            <w:r w:rsidRPr="007261A3">
              <w:rPr>
                <w:rFonts w:eastAsiaTheme="minorHAnsi"/>
                <w:sz w:val="20"/>
                <w:szCs w:val="20"/>
                <w:lang w:val="en-US" w:bidi="en-US"/>
              </w:rPr>
              <w:t>49B</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D79391"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ins am 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44F034" w14:textId="77777777" w:rsidR="001C4EF3" w:rsidRPr="007261A3" w:rsidRDefault="001C4EF3" w:rsidP="007261A3">
            <w:pPr>
              <w:spacing w:before="20" w:after="20" w:line="240" w:lineRule="auto"/>
              <w:jc w:val="center"/>
              <w:rPr>
                <w:rFonts w:eastAsiaTheme="minorHAnsi"/>
                <w:sz w:val="20"/>
                <w:szCs w:val="20"/>
                <w:lang w:val="en-US" w:bidi="en-US"/>
              </w:rPr>
            </w:pPr>
            <w:r w:rsidRPr="007261A3">
              <w:rPr>
                <w:rFonts w:eastAsiaTheme="minorHAnsi"/>
                <w:sz w:val="20"/>
                <w:szCs w:val="20"/>
                <w:lang w:val="en-US" w:bidi="en-US"/>
              </w:rPr>
              <w:t>1 December 2016</w:t>
            </w:r>
          </w:p>
        </w:tc>
      </w:tr>
    </w:tbl>
    <w:p w14:paraId="4BA20606" w14:textId="77777777" w:rsidR="007A66AE" w:rsidRPr="007261A3" w:rsidRDefault="007A66AE" w:rsidP="007261A3">
      <w:pPr>
        <w:autoSpaceDE w:val="0"/>
        <w:autoSpaceDN w:val="0"/>
        <w:adjustRightInd w:val="0"/>
        <w:spacing w:before="280" w:after="0" w:line="240" w:lineRule="auto"/>
        <w:ind w:left="567" w:hanging="567"/>
        <w:rPr>
          <w:rFonts w:eastAsia="Times New Roman"/>
          <w:bCs/>
          <w:color w:val="000000"/>
          <w:sz w:val="20"/>
          <w:szCs w:val="20"/>
          <w:lang w:val="en-US" w:bidi="en-US"/>
        </w:rPr>
      </w:pPr>
    </w:p>
    <w:p w14:paraId="21CDF6B6" w14:textId="77777777" w:rsidR="009749A3" w:rsidRPr="00D8464B" w:rsidRDefault="009749A3" w:rsidP="00F936EB">
      <w:pPr>
        <w:rPr>
          <w:sz w:val="24"/>
          <w:szCs w:val="24"/>
        </w:rPr>
      </w:pPr>
    </w:p>
    <w:sectPr w:rsidR="009749A3" w:rsidRPr="00D8464B" w:rsidSect="004C5CAE">
      <w:head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FB6AC" w14:textId="77777777" w:rsidR="00950F37" w:rsidRDefault="00950F37" w:rsidP="00B83154">
      <w:pPr>
        <w:spacing w:after="0" w:line="240" w:lineRule="auto"/>
      </w:pPr>
      <w:r>
        <w:separator/>
      </w:r>
    </w:p>
  </w:endnote>
  <w:endnote w:type="continuationSeparator" w:id="0">
    <w:p w14:paraId="05837145" w14:textId="77777777" w:rsidR="00950F37" w:rsidRDefault="00950F37" w:rsidP="00B8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6500"/>
      <w:docPartObj>
        <w:docPartGallery w:val="Page Numbers (Bottom of Page)"/>
        <w:docPartUnique/>
      </w:docPartObj>
    </w:sdtPr>
    <w:sdtEndPr/>
    <w:sdtContent>
      <w:p w14:paraId="0AA2EC6C" w14:textId="77777777" w:rsidR="00950F37" w:rsidRDefault="00950F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4AB86" w14:textId="77777777" w:rsidR="00950F37" w:rsidRDefault="0095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6503"/>
      <w:docPartObj>
        <w:docPartGallery w:val="Page Numbers (Bottom of Page)"/>
        <w:docPartUnique/>
      </w:docPartObj>
    </w:sdtPr>
    <w:sdtEndPr/>
    <w:sdtContent>
      <w:p w14:paraId="7774F761" w14:textId="77777777" w:rsidR="00950F37" w:rsidRDefault="00950F37" w:rsidP="000F28D9">
        <w:pPr>
          <w:pStyle w:val="Footer"/>
          <w:pBdr>
            <w:top w:val="single" w:sz="4" w:space="1" w:color="auto"/>
          </w:pBdr>
          <w:tabs>
            <w:tab w:val="left" w:pos="142"/>
          </w:tabs>
          <w:jc w:val="left"/>
        </w:pPr>
        <w:r>
          <w:t>District Court Criminal Supplementary Rules 2014</w:t>
        </w:r>
        <w:r>
          <w:tab/>
        </w:r>
        <w:r>
          <w:fldChar w:fldCharType="begin"/>
        </w:r>
        <w:r>
          <w:instrText xml:space="preserve"> PAGE   \* MERGEFORMAT </w:instrText>
        </w:r>
        <w:r>
          <w:fldChar w:fldCharType="separate"/>
        </w:r>
        <w:r>
          <w:rPr>
            <w:noProof/>
          </w:rPr>
          <w:t>i</w:t>
        </w:r>
        <w:r>
          <w:rPr>
            <w:noProof/>
          </w:rPr>
          <w:fldChar w:fldCharType="end"/>
        </w:r>
      </w:p>
    </w:sdtContent>
  </w:sdt>
  <w:p w14:paraId="5D433C7F" w14:textId="3AA4E91D" w:rsidR="00950F37" w:rsidRPr="00DF2286" w:rsidRDefault="00950F37" w:rsidP="00962532">
    <w:pPr>
      <w:pStyle w:val="Footer"/>
      <w:tabs>
        <w:tab w:val="clear" w:pos="4153"/>
      </w:tabs>
      <w:ind w:right="360"/>
    </w:pPr>
    <w:r>
      <w:t>Current to 1 January 2021 (Amendment No.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6501"/>
      <w:docPartObj>
        <w:docPartGallery w:val="Page Numbers (Bottom of Page)"/>
        <w:docPartUnique/>
      </w:docPartObj>
    </w:sdtPr>
    <w:sdtEndPr/>
    <w:sdtContent>
      <w:p w14:paraId="781BC90A" w14:textId="77777777" w:rsidR="00950F37" w:rsidRDefault="00950F3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CFC710D" w14:textId="77777777" w:rsidR="00950F37" w:rsidRDefault="00950F37">
    <w:pPr>
      <w:pStyle w:val="Footer"/>
    </w:pPr>
    <w:r>
      <w:t>Supreme Court Criminal Supplementary Rules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E787C" w14:textId="77777777" w:rsidR="00950F37" w:rsidRDefault="00950F37" w:rsidP="00B83154">
      <w:pPr>
        <w:spacing w:after="0" w:line="240" w:lineRule="auto"/>
      </w:pPr>
      <w:r>
        <w:separator/>
      </w:r>
    </w:p>
  </w:footnote>
  <w:footnote w:type="continuationSeparator" w:id="0">
    <w:p w14:paraId="49DA214B" w14:textId="77777777" w:rsidR="00950F37" w:rsidRDefault="00950F37" w:rsidP="00B8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4313" w14:textId="77777777" w:rsidR="00950F37" w:rsidRPr="00B940D6" w:rsidRDefault="00950F37" w:rsidP="00B94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BE0E" w14:textId="77777777" w:rsidR="00950F37" w:rsidRPr="00DF2286" w:rsidRDefault="00950F37">
    <w:pPr>
      <w:pStyle w:val="Header"/>
    </w:pPr>
    <w:r w:rsidRPr="00DF2286">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83A2" w14:textId="77777777" w:rsidR="00950F37" w:rsidRPr="006B7A68" w:rsidRDefault="00950F37" w:rsidP="006B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11B3"/>
    <w:multiLevelType w:val="hybridMultilevel"/>
    <w:tmpl w:val="DEF4B5F6"/>
    <w:lvl w:ilvl="0" w:tplc="AE4636BA">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1" w15:restartNumberingAfterBreak="0">
    <w:nsid w:val="209405CF"/>
    <w:multiLevelType w:val="hybridMultilevel"/>
    <w:tmpl w:val="69067CFC"/>
    <w:lvl w:ilvl="0" w:tplc="5330B06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49074750"/>
    <w:multiLevelType w:val="hybridMultilevel"/>
    <w:tmpl w:val="C22A4612"/>
    <w:lvl w:ilvl="0" w:tplc="E62A56EA">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548E250C"/>
    <w:multiLevelType w:val="hybridMultilevel"/>
    <w:tmpl w:val="99D6328C"/>
    <w:lvl w:ilvl="0" w:tplc="2C1A3A0E">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5BD3691A"/>
    <w:multiLevelType w:val="hybridMultilevel"/>
    <w:tmpl w:val="1740387C"/>
    <w:lvl w:ilvl="0" w:tplc="CB80A958">
      <w:start w:val="1"/>
      <w:numFmt w:val="decimal"/>
      <w:lvlText w:val="(%1)"/>
      <w:lvlJc w:val="left"/>
      <w:pPr>
        <w:ind w:left="1439" w:hanging="588"/>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5CEC0150"/>
    <w:multiLevelType w:val="hybridMultilevel"/>
    <w:tmpl w:val="4874FC5C"/>
    <w:lvl w:ilvl="0" w:tplc="4176C620">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F7C7563"/>
    <w:multiLevelType w:val="hybridMultilevel"/>
    <w:tmpl w:val="69067CFC"/>
    <w:lvl w:ilvl="0" w:tplc="5330B06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67FA3D3D"/>
    <w:multiLevelType w:val="hybridMultilevel"/>
    <w:tmpl w:val="CEDED8A8"/>
    <w:lvl w:ilvl="0" w:tplc="0176757E">
      <w:start w:val="1"/>
      <w:numFmt w:val="decimal"/>
      <w:lvlText w:val="(%1)"/>
      <w:lvlJc w:val="left"/>
      <w:pPr>
        <w:ind w:left="1980" w:hanging="72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8" w15:restartNumberingAfterBreak="0">
    <w:nsid w:val="72C370D6"/>
    <w:multiLevelType w:val="hybridMultilevel"/>
    <w:tmpl w:val="6B90CB56"/>
    <w:lvl w:ilvl="0" w:tplc="4F62FB4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7A39243D"/>
    <w:multiLevelType w:val="hybridMultilevel"/>
    <w:tmpl w:val="8C122E8E"/>
    <w:lvl w:ilvl="0" w:tplc="8326D5BA">
      <w:start w:val="1"/>
      <w:numFmt w:val="decimal"/>
      <w:lvlText w:val="(%1)"/>
      <w:lvlJc w:val="left"/>
      <w:pPr>
        <w:ind w:left="786" w:hanging="360"/>
      </w:pPr>
      <w:rPr>
        <w:rFonts w:ascii="Times New Roman" w:eastAsiaTheme="minorHAnsi" w:hAnsi="Times New Roman"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7FD555CB"/>
    <w:multiLevelType w:val="hybridMultilevel"/>
    <w:tmpl w:val="B1489DA8"/>
    <w:lvl w:ilvl="0" w:tplc="CCBCE5F2">
      <w:start w:val="1"/>
      <w:numFmt w:val="decimal"/>
      <w:lvlText w:val="%1."/>
      <w:lvlJc w:val="left"/>
      <w:pPr>
        <w:ind w:left="900" w:hanging="54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7"/>
  </w:num>
  <w:num w:numId="8">
    <w:abstractNumId w:val="6"/>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4206B9-0D3C-4331-B5B1-E684A864C793}"/>
    <w:docVar w:name="dgnword-eventsink" w:val="249389272"/>
  </w:docVars>
  <w:rsids>
    <w:rsidRoot w:val="00294B0A"/>
    <w:rsid w:val="00004548"/>
    <w:rsid w:val="00013F73"/>
    <w:rsid w:val="000148BE"/>
    <w:rsid w:val="00021853"/>
    <w:rsid w:val="00030C51"/>
    <w:rsid w:val="00032A7D"/>
    <w:rsid w:val="000412EE"/>
    <w:rsid w:val="00044B29"/>
    <w:rsid w:val="00053509"/>
    <w:rsid w:val="00057541"/>
    <w:rsid w:val="00062318"/>
    <w:rsid w:val="00062A20"/>
    <w:rsid w:val="0006417E"/>
    <w:rsid w:val="00064EA5"/>
    <w:rsid w:val="0007003D"/>
    <w:rsid w:val="000708A5"/>
    <w:rsid w:val="000771B0"/>
    <w:rsid w:val="000838A3"/>
    <w:rsid w:val="00083DE2"/>
    <w:rsid w:val="0008682E"/>
    <w:rsid w:val="000877BA"/>
    <w:rsid w:val="00090CF4"/>
    <w:rsid w:val="00090F1F"/>
    <w:rsid w:val="000A599E"/>
    <w:rsid w:val="000B12BA"/>
    <w:rsid w:val="000B34D8"/>
    <w:rsid w:val="000B7473"/>
    <w:rsid w:val="000C1585"/>
    <w:rsid w:val="000D4930"/>
    <w:rsid w:val="000D606A"/>
    <w:rsid w:val="000E3623"/>
    <w:rsid w:val="000E56AE"/>
    <w:rsid w:val="000E5CA1"/>
    <w:rsid w:val="000E7DE2"/>
    <w:rsid w:val="000F1722"/>
    <w:rsid w:val="000F262E"/>
    <w:rsid w:val="000F28D9"/>
    <w:rsid w:val="000F64C9"/>
    <w:rsid w:val="00113C4B"/>
    <w:rsid w:val="00116123"/>
    <w:rsid w:val="00117D1D"/>
    <w:rsid w:val="00120697"/>
    <w:rsid w:val="00122FEE"/>
    <w:rsid w:val="00126A2A"/>
    <w:rsid w:val="00136D6C"/>
    <w:rsid w:val="00143DD5"/>
    <w:rsid w:val="001511BB"/>
    <w:rsid w:val="00154117"/>
    <w:rsid w:val="00160FC1"/>
    <w:rsid w:val="001625F0"/>
    <w:rsid w:val="001653E2"/>
    <w:rsid w:val="00167BC5"/>
    <w:rsid w:val="00167C36"/>
    <w:rsid w:val="001737B9"/>
    <w:rsid w:val="00175A8B"/>
    <w:rsid w:val="00183E47"/>
    <w:rsid w:val="00190033"/>
    <w:rsid w:val="0019411A"/>
    <w:rsid w:val="001949B9"/>
    <w:rsid w:val="00195ECB"/>
    <w:rsid w:val="001A1425"/>
    <w:rsid w:val="001A6664"/>
    <w:rsid w:val="001A709C"/>
    <w:rsid w:val="001A7393"/>
    <w:rsid w:val="001B02F4"/>
    <w:rsid w:val="001B1167"/>
    <w:rsid w:val="001B254F"/>
    <w:rsid w:val="001B4510"/>
    <w:rsid w:val="001C2582"/>
    <w:rsid w:val="001C4EF3"/>
    <w:rsid w:val="001C7268"/>
    <w:rsid w:val="001D16C4"/>
    <w:rsid w:val="001D777F"/>
    <w:rsid w:val="001D7AA1"/>
    <w:rsid w:val="001E043B"/>
    <w:rsid w:val="001E22C6"/>
    <w:rsid w:val="001E2566"/>
    <w:rsid w:val="001E2DAF"/>
    <w:rsid w:val="001E6574"/>
    <w:rsid w:val="001E7955"/>
    <w:rsid w:val="001E7C1E"/>
    <w:rsid w:val="001E7CBE"/>
    <w:rsid w:val="001F36E9"/>
    <w:rsid w:val="001F5AB7"/>
    <w:rsid w:val="001F69DD"/>
    <w:rsid w:val="001F7743"/>
    <w:rsid w:val="00202171"/>
    <w:rsid w:val="002118DA"/>
    <w:rsid w:val="00213B5B"/>
    <w:rsid w:val="002175D2"/>
    <w:rsid w:val="00224E30"/>
    <w:rsid w:val="00227A0D"/>
    <w:rsid w:val="00230F1C"/>
    <w:rsid w:val="002320B8"/>
    <w:rsid w:val="002421C1"/>
    <w:rsid w:val="0024771B"/>
    <w:rsid w:val="00250C6C"/>
    <w:rsid w:val="00251254"/>
    <w:rsid w:val="00252877"/>
    <w:rsid w:val="002546F1"/>
    <w:rsid w:val="002570DA"/>
    <w:rsid w:val="00257C42"/>
    <w:rsid w:val="002602B9"/>
    <w:rsid w:val="00262DF3"/>
    <w:rsid w:val="00266C5D"/>
    <w:rsid w:val="00273020"/>
    <w:rsid w:val="00273167"/>
    <w:rsid w:val="002733B7"/>
    <w:rsid w:val="00275752"/>
    <w:rsid w:val="0027651E"/>
    <w:rsid w:val="00276BE8"/>
    <w:rsid w:val="00282463"/>
    <w:rsid w:val="0028675F"/>
    <w:rsid w:val="002869D7"/>
    <w:rsid w:val="00294B0A"/>
    <w:rsid w:val="00296E3E"/>
    <w:rsid w:val="002A2013"/>
    <w:rsid w:val="002A3326"/>
    <w:rsid w:val="002A3B61"/>
    <w:rsid w:val="002A6CFC"/>
    <w:rsid w:val="002A7B4D"/>
    <w:rsid w:val="002B3135"/>
    <w:rsid w:val="002B5387"/>
    <w:rsid w:val="002B6DFA"/>
    <w:rsid w:val="002B6E82"/>
    <w:rsid w:val="002C6385"/>
    <w:rsid w:val="002D026A"/>
    <w:rsid w:val="002D7853"/>
    <w:rsid w:val="002E4B85"/>
    <w:rsid w:val="002E5393"/>
    <w:rsid w:val="002E5A73"/>
    <w:rsid w:val="002E7B33"/>
    <w:rsid w:val="002F2AF6"/>
    <w:rsid w:val="002F6EFB"/>
    <w:rsid w:val="0030682F"/>
    <w:rsid w:val="0030767B"/>
    <w:rsid w:val="00310915"/>
    <w:rsid w:val="00310938"/>
    <w:rsid w:val="0031610B"/>
    <w:rsid w:val="00317DFF"/>
    <w:rsid w:val="00323947"/>
    <w:rsid w:val="0032418C"/>
    <w:rsid w:val="0032433E"/>
    <w:rsid w:val="00331BCC"/>
    <w:rsid w:val="00332702"/>
    <w:rsid w:val="00333361"/>
    <w:rsid w:val="003345E4"/>
    <w:rsid w:val="00336626"/>
    <w:rsid w:val="00342BFC"/>
    <w:rsid w:val="00343109"/>
    <w:rsid w:val="00343830"/>
    <w:rsid w:val="00343D10"/>
    <w:rsid w:val="00350214"/>
    <w:rsid w:val="00350F44"/>
    <w:rsid w:val="00351782"/>
    <w:rsid w:val="003518CD"/>
    <w:rsid w:val="00352C7C"/>
    <w:rsid w:val="00361C05"/>
    <w:rsid w:val="00362935"/>
    <w:rsid w:val="00364B6F"/>
    <w:rsid w:val="0036702A"/>
    <w:rsid w:val="00367F1E"/>
    <w:rsid w:val="003701D3"/>
    <w:rsid w:val="003701E1"/>
    <w:rsid w:val="003724EF"/>
    <w:rsid w:val="00373462"/>
    <w:rsid w:val="00373A30"/>
    <w:rsid w:val="00381882"/>
    <w:rsid w:val="00383345"/>
    <w:rsid w:val="003951C7"/>
    <w:rsid w:val="003A35B8"/>
    <w:rsid w:val="003A4F6B"/>
    <w:rsid w:val="003B1B2B"/>
    <w:rsid w:val="003B1D49"/>
    <w:rsid w:val="003B5123"/>
    <w:rsid w:val="003B5416"/>
    <w:rsid w:val="003B6B73"/>
    <w:rsid w:val="003C176E"/>
    <w:rsid w:val="003C4715"/>
    <w:rsid w:val="003C4901"/>
    <w:rsid w:val="003D2CA7"/>
    <w:rsid w:val="003D3256"/>
    <w:rsid w:val="003D453F"/>
    <w:rsid w:val="003D55CF"/>
    <w:rsid w:val="003D6810"/>
    <w:rsid w:val="003D6F45"/>
    <w:rsid w:val="003E2AEB"/>
    <w:rsid w:val="003E5E86"/>
    <w:rsid w:val="003E6AA1"/>
    <w:rsid w:val="003F3DB1"/>
    <w:rsid w:val="003F7D27"/>
    <w:rsid w:val="00400DE4"/>
    <w:rsid w:val="0040333C"/>
    <w:rsid w:val="004078AD"/>
    <w:rsid w:val="00417EED"/>
    <w:rsid w:val="00424470"/>
    <w:rsid w:val="004254BD"/>
    <w:rsid w:val="00426370"/>
    <w:rsid w:val="00426442"/>
    <w:rsid w:val="00426E0F"/>
    <w:rsid w:val="00430C3E"/>
    <w:rsid w:val="00431FFD"/>
    <w:rsid w:val="0043246F"/>
    <w:rsid w:val="0044297E"/>
    <w:rsid w:val="004440A0"/>
    <w:rsid w:val="0045051C"/>
    <w:rsid w:val="004511E0"/>
    <w:rsid w:val="0045394A"/>
    <w:rsid w:val="00454809"/>
    <w:rsid w:val="0045641E"/>
    <w:rsid w:val="004568FD"/>
    <w:rsid w:val="0046203A"/>
    <w:rsid w:val="00463EB4"/>
    <w:rsid w:val="00464016"/>
    <w:rsid w:val="00467F7D"/>
    <w:rsid w:val="004709D6"/>
    <w:rsid w:val="00480D93"/>
    <w:rsid w:val="004844F4"/>
    <w:rsid w:val="00490D70"/>
    <w:rsid w:val="0049127B"/>
    <w:rsid w:val="004915AD"/>
    <w:rsid w:val="00491A21"/>
    <w:rsid w:val="00492695"/>
    <w:rsid w:val="00492854"/>
    <w:rsid w:val="00493461"/>
    <w:rsid w:val="00493CF5"/>
    <w:rsid w:val="004A0025"/>
    <w:rsid w:val="004A178A"/>
    <w:rsid w:val="004A7484"/>
    <w:rsid w:val="004A770D"/>
    <w:rsid w:val="004B2349"/>
    <w:rsid w:val="004B3F56"/>
    <w:rsid w:val="004B4210"/>
    <w:rsid w:val="004B4738"/>
    <w:rsid w:val="004B4D47"/>
    <w:rsid w:val="004B6B8B"/>
    <w:rsid w:val="004C5CAE"/>
    <w:rsid w:val="004C7FBB"/>
    <w:rsid w:val="004D4E34"/>
    <w:rsid w:val="004D5C94"/>
    <w:rsid w:val="004D5F8B"/>
    <w:rsid w:val="004E35EF"/>
    <w:rsid w:val="004F69D1"/>
    <w:rsid w:val="00507288"/>
    <w:rsid w:val="00510C3C"/>
    <w:rsid w:val="00516923"/>
    <w:rsid w:val="00517F46"/>
    <w:rsid w:val="0052118C"/>
    <w:rsid w:val="0052150C"/>
    <w:rsid w:val="005251E2"/>
    <w:rsid w:val="00525406"/>
    <w:rsid w:val="005259C9"/>
    <w:rsid w:val="00527375"/>
    <w:rsid w:val="00530B55"/>
    <w:rsid w:val="00534E83"/>
    <w:rsid w:val="00540EB2"/>
    <w:rsid w:val="005415DC"/>
    <w:rsid w:val="0054645F"/>
    <w:rsid w:val="005468EF"/>
    <w:rsid w:val="005502EB"/>
    <w:rsid w:val="00553CF0"/>
    <w:rsid w:val="00556C12"/>
    <w:rsid w:val="00557829"/>
    <w:rsid w:val="005639EB"/>
    <w:rsid w:val="00565CD7"/>
    <w:rsid w:val="005667A2"/>
    <w:rsid w:val="00567DDE"/>
    <w:rsid w:val="0057202B"/>
    <w:rsid w:val="00572BE1"/>
    <w:rsid w:val="00572FC4"/>
    <w:rsid w:val="00573EEC"/>
    <w:rsid w:val="00577AAC"/>
    <w:rsid w:val="0058268E"/>
    <w:rsid w:val="00584284"/>
    <w:rsid w:val="00587705"/>
    <w:rsid w:val="00590EAB"/>
    <w:rsid w:val="005957E4"/>
    <w:rsid w:val="005973E6"/>
    <w:rsid w:val="005B5623"/>
    <w:rsid w:val="005C5F63"/>
    <w:rsid w:val="005D038F"/>
    <w:rsid w:val="005D0CCB"/>
    <w:rsid w:val="005D1D15"/>
    <w:rsid w:val="005D5D4F"/>
    <w:rsid w:val="005E5848"/>
    <w:rsid w:val="005E6BAE"/>
    <w:rsid w:val="005F08AF"/>
    <w:rsid w:val="005F08EB"/>
    <w:rsid w:val="005F0C88"/>
    <w:rsid w:val="0060346E"/>
    <w:rsid w:val="006106D9"/>
    <w:rsid w:val="00610A67"/>
    <w:rsid w:val="00614145"/>
    <w:rsid w:val="00614C35"/>
    <w:rsid w:val="00621193"/>
    <w:rsid w:val="006336FD"/>
    <w:rsid w:val="00634D65"/>
    <w:rsid w:val="00644CD5"/>
    <w:rsid w:val="00651004"/>
    <w:rsid w:val="0065403C"/>
    <w:rsid w:val="0065662B"/>
    <w:rsid w:val="00656E47"/>
    <w:rsid w:val="0066037B"/>
    <w:rsid w:val="0067327B"/>
    <w:rsid w:val="00684A9C"/>
    <w:rsid w:val="00685BCC"/>
    <w:rsid w:val="00686E06"/>
    <w:rsid w:val="006878B7"/>
    <w:rsid w:val="006A4433"/>
    <w:rsid w:val="006B10BF"/>
    <w:rsid w:val="006B506B"/>
    <w:rsid w:val="006B6432"/>
    <w:rsid w:val="006B7A68"/>
    <w:rsid w:val="006C48B0"/>
    <w:rsid w:val="006C65F7"/>
    <w:rsid w:val="006C7D05"/>
    <w:rsid w:val="006D0D9D"/>
    <w:rsid w:val="006D2A35"/>
    <w:rsid w:val="006F3CB6"/>
    <w:rsid w:val="007015BD"/>
    <w:rsid w:val="00702943"/>
    <w:rsid w:val="00706485"/>
    <w:rsid w:val="007145A6"/>
    <w:rsid w:val="0071476A"/>
    <w:rsid w:val="00715A75"/>
    <w:rsid w:val="007160A1"/>
    <w:rsid w:val="007237AA"/>
    <w:rsid w:val="007261A3"/>
    <w:rsid w:val="00730730"/>
    <w:rsid w:val="0073330F"/>
    <w:rsid w:val="00733F93"/>
    <w:rsid w:val="00737059"/>
    <w:rsid w:val="007451BE"/>
    <w:rsid w:val="00746632"/>
    <w:rsid w:val="00750571"/>
    <w:rsid w:val="00752C8B"/>
    <w:rsid w:val="00752CEB"/>
    <w:rsid w:val="00753294"/>
    <w:rsid w:val="00766406"/>
    <w:rsid w:val="007743FE"/>
    <w:rsid w:val="00776272"/>
    <w:rsid w:val="00793025"/>
    <w:rsid w:val="0079376F"/>
    <w:rsid w:val="00795ECA"/>
    <w:rsid w:val="007A1554"/>
    <w:rsid w:val="007A18E8"/>
    <w:rsid w:val="007A1DA1"/>
    <w:rsid w:val="007A5705"/>
    <w:rsid w:val="007A66AE"/>
    <w:rsid w:val="007B003A"/>
    <w:rsid w:val="007B3BD4"/>
    <w:rsid w:val="007C2045"/>
    <w:rsid w:val="007C4839"/>
    <w:rsid w:val="007D1851"/>
    <w:rsid w:val="007D5CCF"/>
    <w:rsid w:val="007D687C"/>
    <w:rsid w:val="007E3066"/>
    <w:rsid w:val="007E6C33"/>
    <w:rsid w:val="007F65CE"/>
    <w:rsid w:val="008026C7"/>
    <w:rsid w:val="00802EF0"/>
    <w:rsid w:val="008042AC"/>
    <w:rsid w:val="008055C7"/>
    <w:rsid w:val="00807682"/>
    <w:rsid w:val="0081447D"/>
    <w:rsid w:val="00821AB3"/>
    <w:rsid w:val="00823BF4"/>
    <w:rsid w:val="00825EC9"/>
    <w:rsid w:val="00834E49"/>
    <w:rsid w:val="00837C07"/>
    <w:rsid w:val="0084413A"/>
    <w:rsid w:val="0085084B"/>
    <w:rsid w:val="0085420F"/>
    <w:rsid w:val="00856F4B"/>
    <w:rsid w:val="00857527"/>
    <w:rsid w:val="00860BDD"/>
    <w:rsid w:val="00861BC5"/>
    <w:rsid w:val="008635CD"/>
    <w:rsid w:val="0086585F"/>
    <w:rsid w:val="00871A48"/>
    <w:rsid w:val="00874EE7"/>
    <w:rsid w:val="00875A62"/>
    <w:rsid w:val="00877AC6"/>
    <w:rsid w:val="00882F37"/>
    <w:rsid w:val="00883E24"/>
    <w:rsid w:val="00891E17"/>
    <w:rsid w:val="00893069"/>
    <w:rsid w:val="0089563B"/>
    <w:rsid w:val="008B21C2"/>
    <w:rsid w:val="008B4399"/>
    <w:rsid w:val="008B55ED"/>
    <w:rsid w:val="008C2A97"/>
    <w:rsid w:val="008C3EC4"/>
    <w:rsid w:val="008D1A60"/>
    <w:rsid w:val="008D4BFC"/>
    <w:rsid w:val="008D650A"/>
    <w:rsid w:val="008E0036"/>
    <w:rsid w:val="008E2BB6"/>
    <w:rsid w:val="008E4352"/>
    <w:rsid w:val="008F6FCB"/>
    <w:rsid w:val="00907CB0"/>
    <w:rsid w:val="009111E7"/>
    <w:rsid w:val="0091351C"/>
    <w:rsid w:val="009154D5"/>
    <w:rsid w:val="00930878"/>
    <w:rsid w:val="0093349C"/>
    <w:rsid w:val="00936BE1"/>
    <w:rsid w:val="00937631"/>
    <w:rsid w:val="00942391"/>
    <w:rsid w:val="00942404"/>
    <w:rsid w:val="00942B43"/>
    <w:rsid w:val="009435F6"/>
    <w:rsid w:val="00944680"/>
    <w:rsid w:val="00946665"/>
    <w:rsid w:val="009476FB"/>
    <w:rsid w:val="00950F37"/>
    <w:rsid w:val="00951E26"/>
    <w:rsid w:val="00957E38"/>
    <w:rsid w:val="0096034A"/>
    <w:rsid w:val="00962532"/>
    <w:rsid w:val="0096266C"/>
    <w:rsid w:val="00971CC2"/>
    <w:rsid w:val="009749A3"/>
    <w:rsid w:val="0097669A"/>
    <w:rsid w:val="009802D0"/>
    <w:rsid w:val="00980484"/>
    <w:rsid w:val="00980912"/>
    <w:rsid w:val="00982F60"/>
    <w:rsid w:val="00983D9C"/>
    <w:rsid w:val="0098402F"/>
    <w:rsid w:val="0098484F"/>
    <w:rsid w:val="00987967"/>
    <w:rsid w:val="00991B02"/>
    <w:rsid w:val="009A2294"/>
    <w:rsid w:val="009B1D6C"/>
    <w:rsid w:val="009B2EEA"/>
    <w:rsid w:val="009B6EA1"/>
    <w:rsid w:val="009B77FF"/>
    <w:rsid w:val="009C3AA7"/>
    <w:rsid w:val="009C3BC6"/>
    <w:rsid w:val="009C41FC"/>
    <w:rsid w:val="009D03C2"/>
    <w:rsid w:val="009D2517"/>
    <w:rsid w:val="009D6C23"/>
    <w:rsid w:val="009E13BA"/>
    <w:rsid w:val="009F0B62"/>
    <w:rsid w:val="009F329A"/>
    <w:rsid w:val="00A02853"/>
    <w:rsid w:val="00A1026C"/>
    <w:rsid w:val="00A23680"/>
    <w:rsid w:val="00A256FE"/>
    <w:rsid w:val="00A30D51"/>
    <w:rsid w:val="00A33374"/>
    <w:rsid w:val="00A365F8"/>
    <w:rsid w:val="00A563EA"/>
    <w:rsid w:val="00A60895"/>
    <w:rsid w:val="00A66ED8"/>
    <w:rsid w:val="00A7101A"/>
    <w:rsid w:val="00A71E29"/>
    <w:rsid w:val="00A73FD8"/>
    <w:rsid w:val="00A76361"/>
    <w:rsid w:val="00A8183D"/>
    <w:rsid w:val="00A82CB4"/>
    <w:rsid w:val="00A845A0"/>
    <w:rsid w:val="00A85DB6"/>
    <w:rsid w:val="00A86DE8"/>
    <w:rsid w:val="00A87A77"/>
    <w:rsid w:val="00A87D1B"/>
    <w:rsid w:val="00A9090C"/>
    <w:rsid w:val="00A93BF7"/>
    <w:rsid w:val="00A9768A"/>
    <w:rsid w:val="00A97FED"/>
    <w:rsid w:val="00AA5A71"/>
    <w:rsid w:val="00AA60E5"/>
    <w:rsid w:val="00AA7377"/>
    <w:rsid w:val="00AB2DCF"/>
    <w:rsid w:val="00AB5F7D"/>
    <w:rsid w:val="00AB701E"/>
    <w:rsid w:val="00AB7D9E"/>
    <w:rsid w:val="00AD1B23"/>
    <w:rsid w:val="00AD2017"/>
    <w:rsid w:val="00AD2886"/>
    <w:rsid w:val="00AD7F4A"/>
    <w:rsid w:val="00AE1F87"/>
    <w:rsid w:val="00AE349A"/>
    <w:rsid w:val="00AE795B"/>
    <w:rsid w:val="00AF1D66"/>
    <w:rsid w:val="00AF1E68"/>
    <w:rsid w:val="00AF3E74"/>
    <w:rsid w:val="00AF588D"/>
    <w:rsid w:val="00AF7792"/>
    <w:rsid w:val="00B01C95"/>
    <w:rsid w:val="00B0766F"/>
    <w:rsid w:val="00B1183A"/>
    <w:rsid w:val="00B246FB"/>
    <w:rsid w:val="00B32FE1"/>
    <w:rsid w:val="00B41AAB"/>
    <w:rsid w:val="00B42E94"/>
    <w:rsid w:val="00B5174F"/>
    <w:rsid w:val="00B5440B"/>
    <w:rsid w:val="00B56FE8"/>
    <w:rsid w:val="00B5787F"/>
    <w:rsid w:val="00B6372B"/>
    <w:rsid w:val="00B6424A"/>
    <w:rsid w:val="00B647B6"/>
    <w:rsid w:val="00B64DEA"/>
    <w:rsid w:val="00B739F7"/>
    <w:rsid w:val="00B76C4A"/>
    <w:rsid w:val="00B83154"/>
    <w:rsid w:val="00B85782"/>
    <w:rsid w:val="00B86283"/>
    <w:rsid w:val="00B92A19"/>
    <w:rsid w:val="00B940D6"/>
    <w:rsid w:val="00B953A5"/>
    <w:rsid w:val="00BA2865"/>
    <w:rsid w:val="00BA2E45"/>
    <w:rsid w:val="00BA3846"/>
    <w:rsid w:val="00BA5431"/>
    <w:rsid w:val="00BB1056"/>
    <w:rsid w:val="00BB1961"/>
    <w:rsid w:val="00BC2745"/>
    <w:rsid w:val="00BC40AF"/>
    <w:rsid w:val="00BC4A41"/>
    <w:rsid w:val="00BD26C8"/>
    <w:rsid w:val="00BE071B"/>
    <w:rsid w:val="00BE3E9E"/>
    <w:rsid w:val="00BF19AB"/>
    <w:rsid w:val="00BF56BA"/>
    <w:rsid w:val="00C01F9D"/>
    <w:rsid w:val="00C05894"/>
    <w:rsid w:val="00C07B7A"/>
    <w:rsid w:val="00C16278"/>
    <w:rsid w:val="00C220FD"/>
    <w:rsid w:val="00C24874"/>
    <w:rsid w:val="00C256E0"/>
    <w:rsid w:val="00C30692"/>
    <w:rsid w:val="00C31402"/>
    <w:rsid w:val="00C45845"/>
    <w:rsid w:val="00C45FF3"/>
    <w:rsid w:val="00C50229"/>
    <w:rsid w:val="00C51CDD"/>
    <w:rsid w:val="00C54615"/>
    <w:rsid w:val="00C60AE8"/>
    <w:rsid w:val="00C614AC"/>
    <w:rsid w:val="00C63F13"/>
    <w:rsid w:val="00C64506"/>
    <w:rsid w:val="00C64E5E"/>
    <w:rsid w:val="00C72DF1"/>
    <w:rsid w:val="00C75934"/>
    <w:rsid w:val="00C779FD"/>
    <w:rsid w:val="00C80328"/>
    <w:rsid w:val="00C83092"/>
    <w:rsid w:val="00C83635"/>
    <w:rsid w:val="00C84E64"/>
    <w:rsid w:val="00C86FC9"/>
    <w:rsid w:val="00C90439"/>
    <w:rsid w:val="00C9458D"/>
    <w:rsid w:val="00C96B29"/>
    <w:rsid w:val="00CA0FEC"/>
    <w:rsid w:val="00CA1F90"/>
    <w:rsid w:val="00CA2AFC"/>
    <w:rsid w:val="00CB1E6F"/>
    <w:rsid w:val="00CB28E7"/>
    <w:rsid w:val="00CB506D"/>
    <w:rsid w:val="00CB780A"/>
    <w:rsid w:val="00CC06E3"/>
    <w:rsid w:val="00CC45C0"/>
    <w:rsid w:val="00CC4808"/>
    <w:rsid w:val="00CC7186"/>
    <w:rsid w:val="00CD02DE"/>
    <w:rsid w:val="00CD49CD"/>
    <w:rsid w:val="00CD5780"/>
    <w:rsid w:val="00CD5EA0"/>
    <w:rsid w:val="00CD68A2"/>
    <w:rsid w:val="00CE1416"/>
    <w:rsid w:val="00CE75CC"/>
    <w:rsid w:val="00CF1355"/>
    <w:rsid w:val="00D065CC"/>
    <w:rsid w:val="00D11677"/>
    <w:rsid w:val="00D16039"/>
    <w:rsid w:val="00D22D04"/>
    <w:rsid w:val="00D237CC"/>
    <w:rsid w:val="00D23BBC"/>
    <w:rsid w:val="00D248E6"/>
    <w:rsid w:val="00D3038F"/>
    <w:rsid w:val="00D32B94"/>
    <w:rsid w:val="00D32FC8"/>
    <w:rsid w:val="00D358F4"/>
    <w:rsid w:val="00D43D9A"/>
    <w:rsid w:val="00D51B17"/>
    <w:rsid w:val="00D5324D"/>
    <w:rsid w:val="00D55FBF"/>
    <w:rsid w:val="00D661F0"/>
    <w:rsid w:val="00D66734"/>
    <w:rsid w:val="00D700A9"/>
    <w:rsid w:val="00D81230"/>
    <w:rsid w:val="00D8464B"/>
    <w:rsid w:val="00D847EB"/>
    <w:rsid w:val="00D84D35"/>
    <w:rsid w:val="00D86086"/>
    <w:rsid w:val="00D87DAC"/>
    <w:rsid w:val="00D95616"/>
    <w:rsid w:val="00D979A1"/>
    <w:rsid w:val="00DA3F14"/>
    <w:rsid w:val="00DA6B9A"/>
    <w:rsid w:val="00DB0848"/>
    <w:rsid w:val="00DB6CD1"/>
    <w:rsid w:val="00DC0161"/>
    <w:rsid w:val="00DC2993"/>
    <w:rsid w:val="00DD49DF"/>
    <w:rsid w:val="00DE035C"/>
    <w:rsid w:val="00DE04F6"/>
    <w:rsid w:val="00DE7235"/>
    <w:rsid w:val="00DE7EF4"/>
    <w:rsid w:val="00DF1E6C"/>
    <w:rsid w:val="00DF2286"/>
    <w:rsid w:val="00DF24B0"/>
    <w:rsid w:val="00DF5D0D"/>
    <w:rsid w:val="00DF6391"/>
    <w:rsid w:val="00DF7270"/>
    <w:rsid w:val="00E00EDC"/>
    <w:rsid w:val="00E10F0B"/>
    <w:rsid w:val="00E179CC"/>
    <w:rsid w:val="00E33DC0"/>
    <w:rsid w:val="00E34ADA"/>
    <w:rsid w:val="00E37D16"/>
    <w:rsid w:val="00E41238"/>
    <w:rsid w:val="00E46D0E"/>
    <w:rsid w:val="00E47FC5"/>
    <w:rsid w:val="00E53F80"/>
    <w:rsid w:val="00E542C2"/>
    <w:rsid w:val="00E55A57"/>
    <w:rsid w:val="00E55B3A"/>
    <w:rsid w:val="00E56AF7"/>
    <w:rsid w:val="00E60DDD"/>
    <w:rsid w:val="00E61700"/>
    <w:rsid w:val="00E63D22"/>
    <w:rsid w:val="00E65D18"/>
    <w:rsid w:val="00E6743A"/>
    <w:rsid w:val="00E7121F"/>
    <w:rsid w:val="00E72F5B"/>
    <w:rsid w:val="00E75F2D"/>
    <w:rsid w:val="00E80089"/>
    <w:rsid w:val="00E878F8"/>
    <w:rsid w:val="00E93630"/>
    <w:rsid w:val="00E945B2"/>
    <w:rsid w:val="00E9637C"/>
    <w:rsid w:val="00EA2061"/>
    <w:rsid w:val="00EA34B1"/>
    <w:rsid w:val="00EA3816"/>
    <w:rsid w:val="00EB7909"/>
    <w:rsid w:val="00EC036D"/>
    <w:rsid w:val="00EC535B"/>
    <w:rsid w:val="00ED266C"/>
    <w:rsid w:val="00ED50A0"/>
    <w:rsid w:val="00ED6102"/>
    <w:rsid w:val="00ED6F6B"/>
    <w:rsid w:val="00ED76BC"/>
    <w:rsid w:val="00EE0359"/>
    <w:rsid w:val="00EE52F5"/>
    <w:rsid w:val="00EE5CFD"/>
    <w:rsid w:val="00EE6C85"/>
    <w:rsid w:val="00EF15F6"/>
    <w:rsid w:val="00EF20C0"/>
    <w:rsid w:val="00EF3ABE"/>
    <w:rsid w:val="00EF40F3"/>
    <w:rsid w:val="00F02117"/>
    <w:rsid w:val="00F0321E"/>
    <w:rsid w:val="00F04A91"/>
    <w:rsid w:val="00F1084E"/>
    <w:rsid w:val="00F160CC"/>
    <w:rsid w:val="00F17964"/>
    <w:rsid w:val="00F20345"/>
    <w:rsid w:val="00F21180"/>
    <w:rsid w:val="00F227C6"/>
    <w:rsid w:val="00F23FE6"/>
    <w:rsid w:val="00F25B44"/>
    <w:rsid w:val="00F26185"/>
    <w:rsid w:val="00F30011"/>
    <w:rsid w:val="00F30863"/>
    <w:rsid w:val="00F308E5"/>
    <w:rsid w:val="00F32266"/>
    <w:rsid w:val="00F36349"/>
    <w:rsid w:val="00F5361E"/>
    <w:rsid w:val="00F545F4"/>
    <w:rsid w:val="00F5461B"/>
    <w:rsid w:val="00F62520"/>
    <w:rsid w:val="00F62636"/>
    <w:rsid w:val="00F636DB"/>
    <w:rsid w:val="00F67CA7"/>
    <w:rsid w:val="00F72688"/>
    <w:rsid w:val="00F73747"/>
    <w:rsid w:val="00F80B99"/>
    <w:rsid w:val="00F910C5"/>
    <w:rsid w:val="00F919DC"/>
    <w:rsid w:val="00F92C9A"/>
    <w:rsid w:val="00F936EB"/>
    <w:rsid w:val="00FA15EF"/>
    <w:rsid w:val="00FA2126"/>
    <w:rsid w:val="00FA5A02"/>
    <w:rsid w:val="00FB036F"/>
    <w:rsid w:val="00FB2F03"/>
    <w:rsid w:val="00FB30C6"/>
    <w:rsid w:val="00FB55F0"/>
    <w:rsid w:val="00FB6B11"/>
    <w:rsid w:val="00FC1588"/>
    <w:rsid w:val="00FC2E6D"/>
    <w:rsid w:val="00FC6D29"/>
    <w:rsid w:val="00FD0854"/>
    <w:rsid w:val="00FD4044"/>
    <w:rsid w:val="00FD5C60"/>
    <w:rsid w:val="00FE4C95"/>
    <w:rsid w:val="00FE4D28"/>
    <w:rsid w:val="00FE780D"/>
    <w:rsid w:val="00FE7B5D"/>
    <w:rsid w:val="00FF105A"/>
    <w:rsid w:val="00FF205E"/>
    <w:rsid w:val="00FF3D4F"/>
    <w:rsid w:val="00FF4879"/>
    <w:rsid w:val="00FF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FB46"/>
  <w15:docId w15:val="{B692192D-FC7E-4D66-B9BD-32BF2050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en-U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C6"/>
    <w:pPr>
      <w:spacing w:after="200" w:line="276" w:lineRule="auto"/>
    </w:pPr>
    <w:rPr>
      <w:rFonts w:ascii="Times New Roman" w:eastAsia="Calibri" w:hAnsi="Times New Roman"/>
      <w:sz w:val="23"/>
      <w:szCs w:val="22"/>
      <w:lang w:val="en-AU" w:bidi="ar-SA"/>
    </w:rPr>
  </w:style>
  <w:style w:type="paragraph" w:styleId="Heading1">
    <w:name w:val="heading 1"/>
    <w:basedOn w:val="Chapter"/>
    <w:next w:val="Part"/>
    <w:link w:val="Heading1Char"/>
    <w:qFormat/>
    <w:rsid w:val="003D3256"/>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semiHidden/>
    <w:unhideWhenUsed/>
    <w:qFormat/>
    <w:rsid w:val="003D3256"/>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semiHidden/>
    <w:unhideWhenUsed/>
    <w:qFormat/>
    <w:rsid w:val="0028675F"/>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0535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35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3509"/>
    <w:pPr>
      <w:spacing w:before="240" w:after="60"/>
      <w:outlineLvl w:val="5"/>
    </w:pPr>
    <w:rPr>
      <w:b/>
      <w:bCs/>
    </w:rPr>
  </w:style>
  <w:style w:type="paragraph" w:styleId="Heading7">
    <w:name w:val="heading 7"/>
    <w:basedOn w:val="Normal"/>
    <w:next w:val="Normal"/>
    <w:link w:val="Heading7Char"/>
    <w:uiPriority w:val="9"/>
    <w:semiHidden/>
    <w:unhideWhenUsed/>
    <w:qFormat/>
    <w:rsid w:val="00053509"/>
    <w:pPr>
      <w:spacing w:before="240" w:after="60"/>
      <w:outlineLvl w:val="6"/>
    </w:pPr>
  </w:style>
  <w:style w:type="paragraph" w:styleId="Heading8">
    <w:name w:val="heading 8"/>
    <w:basedOn w:val="Normal"/>
    <w:next w:val="Normal"/>
    <w:link w:val="Heading8Char"/>
    <w:uiPriority w:val="9"/>
    <w:semiHidden/>
    <w:unhideWhenUsed/>
    <w:qFormat/>
    <w:rsid w:val="00053509"/>
    <w:pPr>
      <w:spacing w:before="240" w:after="60"/>
      <w:outlineLvl w:val="7"/>
    </w:pPr>
    <w:rPr>
      <w:i/>
      <w:iCs/>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56"/>
    <w:rPr>
      <w:rFonts w:ascii="Times New Roman" w:eastAsiaTheme="majorEastAsia" w:hAnsi="Times New Roman"/>
      <w:b/>
      <w:color w:val="000000"/>
      <w:kern w:val="32"/>
      <w:sz w:val="34"/>
      <w:szCs w:val="32"/>
      <w:lang w:bidi="ar-SA"/>
    </w:rPr>
  </w:style>
  <w:style w:type="character" w:customStyle="1" w:styleId="Heading2Char">
    <w:name w:val="Heading 2 Char"/>
    <w:basedOn w:val="DefaultParagraphFont"/>
    <w:link w:val="Heading2"/>
    <w:uiPriority w:val="9"/>
    <w:semiHidden/>
    <w:rsid w:val="003D3256"/>
    <w:rPr>
      <w:rFonts w:ascii="Times New Roman" w:eastAsiaTheme="majorEastAsia" w:hAnsi="Times New Roman"/>
      <w:b/>
      <w:iCs/>
      <w:color w:val="000000"/>
      <w:sz w:val="32"/>
      <w:szCs w:val="28"/>
      <w:lang w:bidi="ar-SA"/>
    </w:rPr>
  </w:style>
  <w:style w:type="character" w:customStyle="1" w:styleId="Heading3Char">
    <w:name w:val="Heading 3 Char"/>
    <w:basedOn w:val="DefaultParagraphFont"/>
    <w:link w:val="Heading3"/>
    <w:uiPriority w:val="9"/>
    <w:semiHidden/>
    <w:rsid w:val="0028675F"/>
    <w:rPr>
      <w:rFonts w:ascii="Times New Roman" w:eastAsiaTheme="majorEastAsia" w:hAnsi="Times New Roman"/>
      <w:b/>
      <w:color w:val="000000"/>
      <w:sz w:val="26"/>
      <w:szCs w:val="26"/>
      <w:lang w:val="en-AU" w:bidi="ar-SA"/>
    </w:rPr>
  </w:style>
  <w:style w:type="character" w:customStyle="1" w:styleId="Heading4Char">
    <w:name w:val="Heading 4 Char"/>
    <w:basedOn w:val="DefaultParagraphFont"/>
    <w:link w:val="Heading4"/>
    <w:uiPriority w:val="9"/>
    <w:semiHidden/>
    <w:rsid w:val="00053509"/>
    <w:rPr>
      <w:rFonts w:ascii="Times New Roman" w:eastAsia="Calibri" w:hAnsi="Times New Roman"/>
      <w:b/>
      <w:bCs/>
      <w:sz w:val="28"/>
      <w:szCs w:val="28"/>
      <w:lang w:val="en-AU" w:bidi="ar-SA"/>
    </w:rPr>
  </w:style>
  <w:style w:type="character" w:customStyle="1" w:styleId="Heading5Char">
    <w:name w:val="Heading 5 Char"/>
    <w:basedOn w:val="DefaultParagraphFont"/>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basedOn w:val="DefaultParagraphFont"/>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basedOn w:val="DefaultParagraphFont"/>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basedOn w:val="DefaultParagraphFont"/>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basedOn w:val="DefaultParagraphFont"/>
    <w:link w:val="Heading9"/>
    <w:uiPriority w:val="9"/>
    <w:semiHidden/>
    <w:rsid w:val="00053509"/>
    <w:rPr>
      <w:rFonts w:asciiTheme="majorHAnsi" w:eastAsiaTheme="majorEastAsia" w:hAnsiTheme="majorHAnsi"/>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3509"/>
    <w:rPr>
      <w:rFonts w:asciiTheme="majorHAnsi" w:eastAsiaTheme="majorEastAsia" w:hAnsiTheme="majorHAnsi"/>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3509"/>
    <w:rPr>
      <w:rFonts w:asciiTheme="majorHAnsi" w:eastAsiaTheme="majorEastAsia" w:hAnsiTheme="majorHAnsi"/>
      <w:sz w:val="23"/>
      <w:szCs w:val="22"/>
      <w:lang w:val="en-AU" w:bidi="ar-SA"/>
    </w:rPr>
  </w:style>
  <w:style w:type="character" w:styleId="Strong">
    <w:name w:val="Strong"/>
    <w:basedOn w:val="DefaultParagraphFont"/>
    <w:uiPriority w:val="22"/>
    <w:qFormat/>
    <w:rsid w:val="00053509"/>
    <w:rPr>
      <w:b/>
      <w:bCs/>
    </w:rPr>
  </w:style>
  <w:style w:type="character" w:styleId="Emphasis">
    <w:name w:val="Emphasis"/>
    <w:basedOn w:val="DefaultParagraphFont"/>
    <w:uiPriority w:val="20"/>
    <w:qFormat/>
    <w:rsid w:val="00053509"/>
    <w:rPr>
      <w:rFonts w:asciiTheme="minorHAnsi" w:hAnsiTheme="minorHAnsi"/>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i/>
    </w:rPr>
  </w:style>
  <w:style w:type="character" w:customStyle="1" w:styleId="QuoteChar">
    <w:name w:val="Quote Char"/>
    <w:basedOn w:val="DefaultParagraphFont"/>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b/>
      <w:i/>
    </w:rPr>
  </w:style>
  <w:style w:type="character" w:customStyle="1" w:styleId="IntenseQuoteChar">
    <w:name w:val="Intense Quote Char"/>
    <w:basedOn w:val="DefaultParagraphFont"/>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themeColor="text1" w:themeTint="A5"/>
    </w:rPr>
  </w:style>
  <w:style w:type="character" w:styleId="IntenseEmphasis">
    <w:name w:val="Intense Emphasis"/>
    <w:basedOn w:val="DefaultParagraphFont"/>
    <w:uiPriority w:val="21"/>
    <w:qFormat/>
    <w:rsid w:val="00053509"/>
    <w:rPr>
      <w:b/>
      <w:i/>
      <w:sz w:val="24"/>
      <w:szCs w:val="24"/>
      <w:u w:val="single"/>
    </w:rPr>
  </w:style>
  <w:style w:type="character" w:styleId="SubtleReference">
    <w:name w:val="Subtle Reference"/>
    <w:basedOn w:val="DefaultParagraphFont"/>
    <w:uiPriority w:val="31"/>
    <w:qFormat/>
    <w:rsid w:val="00053509"/>
    <w:rPr>
      <w:sz w:val="24"/>
      <w:szCs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3509"/>
    <w:pPr>
      <w:outlineLvl w:val="9"/>
    </w:pPr>
  </w:style>
  <w:style w:type="paragraph" w:customStyle="1" w:styleId="Chapter">
    <w:name w:val="Chapter"/>
    <w:basedOn w:val="Normal"/>
    <w:next w:val="Part"/>
    <w:qFormat/>
    <w:rsid w:val="00053509"/>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053509"/>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AU" w:bidi="ar-SA"/>
    </w:rPr>
  </w:style>
  <w:style w:type="paragraph" w:customStyle="1" w:styleId="SubPart">
    <w:name w:val="SubPart"/>
    <w:basedOn w:val="clausehead"/>
    <w:next w:val="IndentedPara"/>
    <w:qFormat/>
    <w:rsid w:val="00053509"/>
    <w:pPr>
      <w:keepLines w:val="0"/>
    </w:pPr>
    <w:rPr>
      <w:sz w:val="23"/>
    </w:rPr>
  </w:style>
  <w:style w:type="paragraph" w:customStyle="1" w:styleId="IndentedPara">
    <w:name w:val="IndentedPara"/>
    <w:basedOn w:val="Normal"/>
    <w:next w:val="Hangindent"/>
    <w:qFormat/>
    <w:rsid w:val="00053509"/>
    <w:pPr>
      <w:tabs>
        <w:tab w:val="left" w:pos="851"/>
      </w:tabs>
      <w:autoSpaceDE w:val="0"/>
      <w:autoSpaceDN w:val="0"/>
      <w:adjustRightInd w:val="0"/>
      <w:spacing w:before="120" w:after="120" w:line="240" w:lineRule="auto"/>
      <w:ind w:left="851"/>
    </w:pPr>
    <w:rPr>
      <w:rFonts w:eastAsia="Times New Roman"/>
      <w:color w:val="000000"/>
      <w:szCs w:val="23"/>
      <w:lang w:val="en-US"/>
    </w:rPr>
  </w:style>
  <w:style w:type="paragraph" w:customStyle="1" w:styleId="Hangindent">
    <w:name w:val="Hang indent"/>
    <w:basedOn w:val="Normal"/>
    <w:qFormat/>
    <w:rsid w:val="00053509"/>
    <w:pPr>
      <w:spacing w:after="120" w:line="240" w:lineRule="auto"/>
      <w:ind w:left="1418" w:hanging="567"/>
    </w:pPr>
    <w:rPr>
      <w:szCs w:val="23"/>
    </w:rPr>
  </w:style>
  <w:style w:type="paragraph" w:styleId="Header">
    <w:name w:val="header"/>
    <w:basedOn w:val="Normal"/>
    <w:link w:val="HeaderChar"/>
    <w:semiHidden/>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HeaderChar">
    <w:name w:val="Header Char"/>
    <w:basedOn w:val="DefaultParagraphFont"/>
    <w:link w:val="Header"/>
    <w:semiHidden/>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FooterChar">
    <w:name w:val="Footer Char"/>
    <w:basedOn w:val="DefaultParagraphFont"/>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semiHidden/>
    <w:rsid w:val="00053509"/>
  </w:style>
  <w:style w:type="character" w:styleId="Hyperlink">
    <w:name w:val="Hyperlink"/>
    <w:basedOn w:val="DefaultParagraphFont"/>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line="240" w:lineRule="auto"/>
    </w:pPr>
    <w:rPr>
      <w:rFonts w:eastAsia="Times New Roman"/>
      <w:sz w:val="24"/>
      <w:szCs w:val="24"/>
      <w:lang w:eastAsia="en-AU"/>
    </w:rPr>
  </w:style>
  <w:style w:type="paragraph" w:styleId="BalloonText">
    <w:name w:val="Balloon Text"/>
    <w:basedOn w:val="Normal"/>
    <w:link w:val="BalloonTextChar"/>
    <w:uiPriority w:val="99"/>
    <w:semiHidden/>
    <w:unhideWhenUsed/>
    <w:rsid w:val="0005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paragraph" w:customStyle="1" w:styleId="Rules1">
    <w:name w:val="Rules 1"/>
    <w:basedOn w:val="Heading1"/>
    <w:next w:val="Normal"/>
    <w:uiPriority w:val="99"/>
    <w:rsid w:val="00825EC9"/>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jc w:val="center"/>
      <w:textAlignment w:val="baseline"/>
    </w:pPr>
    <w:rPr>
      <w:rFonts w:eastAsia="Times New Roman"/>
      <w:bCs/>
      <w:color w:val="auto"/>
      <w:spacing w:val="-3"/>
      <w:kern w:val="0"/>
      <w:sz w:val="24"/>
      <w:szCs w:val="20"/>
    </w:rPr>
  </w:style>
  <w:style w:type="paragraph" w:styleId="Index2">
    <w:name w:val="index 2"/>
    <w:basedOn w:val="Normal"/>
    <w:next w:val="Normal"/>
    <w:autoRedefine/>
    <w:semiHidden/>
    <w:rsid w:val="00825EC9"/>
    <w:pPr>
      <w:keepNext/>
      <w:tabs>
        <w:tab w:val="left" w:pos="1080"/>
      </w:tabs>
      <w:spacing w:after="120" w:line="240" w:lineRule="auto"/>
      <w:ind w:left="1080"/>
      <w:jc w:val="both"/>
    </w:pPr>
    <w:rPr>
      <w:rFonts w:eastAsia="Times New Roman"/>
      <w:sz w:val="24"/>
      <w:szCs w:val="24"/>
      <w:lang w:val="en-GB"/>
    </w:rPr>
  </w:style>
  <w:style w:type="paragraph" w:styleId="TOC4">
    <w:name w:val="toc 4"/>
    <w:basedOn w:val="Normal"/>
    <w:next w:val="Normal"/>
    <w:autoRedefine/>
    <w:uiPriority w:val="39"/>
    <w:unhideWhenUsed/>
    <w:rsid w:val="0091351C"/>
    <w:pPr>
      <w:spacing w:after="100"/>
      <w:ind w:left="660"/>
    </w:pPr>
    <w:rPr>
      <w:rFonts w:asciiTheme="minorHAnsi" w:eastAsiaTheme="minorEastAsia" w:hAnsiTheme="minorHAnsi" w:cstheme="minorBidi"/>
      <w:sz w:val="22"/>
      <w:lang w:eastAsia="en-AU"/>
    </w:rPr>
  </w:style>
  <w:style w:type="paragraph" w:styleId="TOC1">
    <w:name w:val="toc 1"/>
    <w:basedOn w:val="Chapter"/>
    <w:next w:val="Normal"/>
    <w:autoRedefine/>
    <w:uiPriority w:val="39"/>
    <w:unhideWhenUsed/>
    <w:rsid w:val="00464016"/>
    <w:pPr>
      <w:tabs>
        <w:tab w:val="right" w:leader="dot" w:pos="9016"/>
      </w:tabs>
      <w:spacing w:before="0" w:after="120"/>
    </w:pPr>
    <w:rPr>
      <w:rFonts w:eastAsiaTheme="majorEastAsia"/>
      <w:bCs w:val="0"/>
      <w:noProof/>
      <w:kern w:val="32"/>
      <w:sz w:val="30"/>
      <w:szCs w:val="30"/>
    </w:rPr>
  </w:style>
  <w:style w:type="paragraph" w:styleId="TOC2">
    <w:name w:val="toc 2"/>
    <w:basedOn w:val="Part"/>
    <w:next w:val="Normal"/>
    <w:autoRedefine/>
    <w:uiPriority w:val="39"/>
    <w:unhideWhenUsed/>
    <w:rsid w:val="00310915"/>
    <w:pPr>
      <w:tabs>
        <w:tab w:val="left" w:pos="425"/>
      </w:tabs>
      <w:spacing w:before="0" w:after="120"/>
      <w:ind w:left="992"/>
    </w:pPr>
    <w:rPr>
      <w:b w:val="0"/>
      <w:sz w:val="28"/>
    </w:rPr>
  </w:style>
  <w:style w:type="paragraph" w:styleId="TOC3">
    <w:name w:val="toc 3"/>
    <w:basedOn w:val="clausehead"/>
    <w:next w:val="Normal"/>
    <w:autoRedefine/>
    <w:uiPriority w:val="39"/>
    <w:unhideWhenUsed/>
    <w:rsid w:val="007015BD"/>
    <w:pPr>
      <w:tabs>
        <w:tab w:val="right" w:leader="dot" w:pos="9016"/>
      </w:tabs>
      <w:spacing w:before="0" w:after="120"/>
      <w:ind w:left="1287"/>
      <w:contextualSpacing/>
    </w:pPr>
    <w:rPr>
      <w:b w:val="0"/>
      <w:noProof/>
      <w:sz w:val="24"/>
      <w:szCs w:val="24"/>
      <w:lang w:val="en-US"/>
    </w:rPr>
  </w:style>
  <w:style w:type="paragraph" w:styleId="TOC5">
    <w:name w:val="toc 5"/>
    <w:basedOn w:val="Normal"/>
    <w:next w:val="Normal"/>
    <w:autoRedefine/>
    <w:uiPriority w:val="39"/>
    <w:unhideWhenUsed/>
    <w:rsid w:val="0091351C"/>
    <w:pPr>
      <w:spacing w:after="100"/>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91351C"/>
    <w:pPr>
      <w:spacing w:after="100"/>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91351C"/>
    <w:pPr>
      <w:spacing w:after="100"/>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91351C"/>
    <w:pPr>
      <w:spacing w:after="100"/>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91351C"/>
    <w:pPr>
      <w:spacing w:after="100"/>
      <w:ind w:left="1760"/>
    </w:pPr>
    <w:rPr>
      <w:rFonts w:asciiTheme="minorHAnsi" w:eastAsiaTheme="minorEastAsia" w:hAnsiTheme="minorHAnsi" w:cstheme="minorBidi"/>
      <w:sz w:val="22"/>
      <w:lang w:eastAsia="en-AU"/>
    </w:rPr>
  </w:style>
  <w:style w:type="character" w:styleId="PlaceholderText">
    <w:name w:val="Placeholder Text"/>
    <w:basedOn w:val="DefaultParagraphFont"/>
    <w:uiPriority w:val="99"/>
    <w:semiHidden/>
    <w:rsid w:val="00E53F80"/>
    <w:rPr>
      <w:color w:val="808080"/>
    </w:rPr>
  </w:style>
  <w:style w:type="paragraph" w:customStyle="1" w:styleId="Division">
    <w:name w:val="Division"/>
    <w:basedOn w:val="clausehead"/>
    <w:next w:val="clausehead"/>
    <w:uiPriority w:val="99"/>
    <w:rsid w:val="00FA2126"/>
    <w:pPr>
      <w:spacing w:after="120"/>
    </w:pPr>
  </w:style>
  <w:style w:type="character" w:styleId="CommentReference">
    <w:name w:val="annotation reference"/>
    <w:basedOn w:val="DefaultParagraphFont"/>
    <w:uiPriority w:val="99"/>
    <w:semiHidden/>
    <w:unhideWhenUsed/>
    <w:rsid w:val="009435F6"/>
    <w:rPr>
      <w:sz w:val="16"/>
      <w:szCs w:val="16"/>
    </w:rPr>
  </w:style>
  <w:style w:type="paragraph" w:styleId="CommentText">
    <w:name w:val="annotation text"/>
    <w:basedOn w:val="Normal"/>
    <w:link w:val="CommentTextChar"/>
    <w:uiPriority w:val="99"/>
    <w:semiHidden/>
    <w:unhideWhenUsed/>
    <w:rsid w:val="009435F6"/>
    <w:pPr>
      <w:spacing w:line="240" w:lineRule="auto"/>
    </w:pPr>
    <w:rPr>
      <w:sz w:val="20"/>
      <w:szCs w:val="20"/>
    </w:rPr>
  </w:style>
  <w:style w:type="character" w:customStyle="1" w:styleId="CommentTextChar">
    <w:name w:val="Comment Text Char"/>
    <w:basedOn w:val="DefaultParagraphFont"/>
    <w:link w:val="CommentText"/>
    <w:uiPriority w:val="99"/>
    <w:semiHidden/>
    <w:rsid w:val="009435F6"/>
    <w:rPr>
      <w:rFonts w:ascii="Times New Roman" w:eastAsia="Calibri" w:hAnsi="Times New Roman"/>
      <w:lang w:val="en-AU" w:bidi="ar-SA"/>
    </w:rPr>
  </w:style>
  <w:style w:type="paragraph" w:styleId="CommentSubject">
    <w:name w:val="annotation subject"/>
    <w:basedOn w:val="CommentText"/>
    <w:next w:val="CommentText"/>
    <w:link w:val="CommentSubjectChar"/>
    <w:uiPriority w:val="99"/>
    <w:semiHidden/>
    <w:unhideWhenUsed/>
    <w:rsid w:val="009435F6"/>
    <w:rPr>
      <w:b/>
      <w:bCs/>
    </w:rPr>
  </w:style>
  <w:style w:type="character" w:customStyle="1" w:styleId="CommentSubjectChar">
    <w:name w:val="Comment Subject Char"/>
    <w:basedOn w:val="CommentTextChar"/>
    <w:link w:val="CommentSubject"/>
    <w:uiPriority w:val="99"/>
    <w:semiHidden/>
    <w:rsid w:val="009435F6"/>
    <w:rPr>
      <w:rFonts w:ascii="Times New Roman" w:eastAsia="Calibri" w:hAnsi="Times New Roman"/>
      <w:b/>
      <w:bCs/>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8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oo.gl" TargetMode="External"/><Relationship Id="rId18" Type="http://schemas.openxmlformats.org/officeDocument/2006/relationships/hyperlink" Target="http://www.austlii.edu.au/au/legis/sa/consol_act/clca1935262/s1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ccrcs@courts.sa.gov.au" TargetMode="External"/><Relationship Id="rId2" Type="http://schemas.openxmlformats.org/officeDocument/2006/relationships/numbering" Target="numbering.xml"/><Relationship Id="rId16" Type="http://schemas.openxmlformats.org/officeDocument/2006/relationships/hyperlink" Target="mailto:ccrcs@courts.s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tinyurl.com/"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it.ly"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C7D54-1E10-41CE-8B4C-E6AE199F1A38}"/>
</file>

<file path=customXml/itemProps2.xml><?xml version="1.0" encoding="utf-8"?>
<ds:datastoreItem xmlns:ds="http://schemas.openxmlformats.org/officeDocument/2006/customXml" ds:itemID="{C04EADC6-82C8-495C-A44A-6DFE6F74EB63}"/>
</file>

<file path=customXml/itemProps3.xml><?xml version="1.0" encoding="utf-8"?>
<ds:datastoreItem xmlns:ds="http://schemas.openxmlformats.org/officeDocument/2006/customXml" ds:itemID="{E6B6EB21-37B5-4588-89C6-9520B522027C}"/>
</file>

<file path=customXml/itemProps4.xml><?xml version="1.0" encoding="utf-8"?>
<ds:datastoreItem xmlns:ds="http://schemas.openxmlformats.org/officeDocument/2006/customXml" ds:itemID="{D326EC83-87BF-4C98-9F35-248BC2709B3D}"/>
</file>

<file path=docProps/app.xml><?xml version="1.0" encoding="utf-8"?>
<Properties xmlns="http://schemas.openxmlformats.org/officeDocument/2006/extended-properties" xmlns:vt="http://schemas.openxmlformats.org/officeDocument/2006/docPropsVTypes">
  <Template>Normal</Template>
  <TotalTime>1</TotalTime>
  <Pages>35</Pages>
  <Words>7870</Words>
  <Characters>44864</Characters>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Criminal Supplementary Rules 2014</dc:title>
  <dc:description>Current to Amendment No. 8 effective 1 January 2021</dc:description>
  <cp:lastPrinted>2014-09-12T06:51:00Z</cp:lastPrinted>
  <dcterms:created xsi:type="dcterms:W3CDTF">2020-12-29T00:37:00Z</dcterms:created>
  <dcterms:modified xsi:type="dcterms:W3CDTF">2020-12-29T00:37:00Z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A151020</vt:lpwstr>
  </property>
  <property fmtid="{D5CDD505-2E9C-101B-9397-08002B2CF9AE}" pid="4" name="Objective-Title">
    <vt:lpwstr>District Court Criminal Supplementary Rules 2014</vt:lpwstr>
  </property>
  <property fmtid="{D5CDD505-2E9C-101B-9397-08002B2CF9AE}" pid="5" name="Objective-Comment">
    <vt:lpwstr/>
  </property>
  <property fmtid="{D5CDD505-2E9C-101B-9397-08002B2CF9AE}" pid="6" name="Objective-CreationStamp">
    <vt:filetime>2014-09-23T02:56:47Z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2014-09-23T08:18:52Z</vt:filetime>
  </property>
  <property fmtid="{D5CDD505-2E9C-101B-9397-08002B2CF9AE}" pid="10" name="Objective-ModificationStamp">
    <vt:filetime>2015-04-02T02:01:49Z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Criminal Supplementary Rules 2014:Master Copies - District Court Criminal Suppmentary Rules 2014:</vt:lpwstr>
  </property>
  <property fmtid="{D5CDD505-2E9C-101B-9397-08002B2CF9AE}" pid="13" name="Objective-Parent">
    <vt:lpwstr>Master Copies - District Court Criminal Suppmentary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CRF2015/00177</vt:lpwstr>
  </property>
  <property fmtid="{D5CDD505-2E9C-101B-9397-08002B2CF9AE}" pid="19" name="Objective-Classification">
    <vt:lpwstr>[Inherited - none]</vt:lpwstr>
  </property>
  <property fmtid="{D5CDD505-2E9C-101B-9397-08002B2CF9AE}" pid="20" name="Objective-Caveats">
    <vt:lpwstr/>
  </property>
</Properties>
</file>